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E0" w:rsidRPr="00146A10" w:rsidRDefault="00416340">
      <w:pPr>
        <w:jc w:val="right"/>
        <w:rPr>
          <w:sz w:val="20"/>
          <w:szCs w:val="20"/>
        </w:rPr>
      </w:pPr>
      <w:r w:rsidRPr="00146A10">
        <w:rPr>
          <w:sz w:val="20"/>
          <w:szCs w:val="20"/>
        </w:rPr>
        <w:t xml:space="preserve">Kraków </w:t>
      </w:r>
      <w:r w:rsidR="003D67CC">
        <w:rPr>
          <w:sz w:val="20"/>
          <w:szCs w:val="20"/>
        </w:rPr>
        <w:t>30</w:t>
      </w:r>
      <w:r w:rsidRPr="00146A10">
        <w:rPr>
          <w:sz w:val="20"/>
          <w:szCs w:val="20"/>
        </w:rPr>
        <w:t>.</w:t>
      </w:r>
      <w:r w:rsidR="008912B5">
        <w:rPr>
          <w:sz w:val="20"/>
          <w:szCs w:val="20"/>
        </w:rPr>
        <w:t>0</w:t>
      </w:r>
      <w:r w:rsidR="005C1C13">
        <w:rPr>
          <w:sz w:val="20"/>
          <w:szCs w:val="20"/>
        </w:rPr>
        <w:t>8</w:t>
      </w:r>
      <w:r w:rsidRPr="00146A10">
        <w:rPr>
          <w:sz w:val="20"/>
          <w:szCs w:val="20"/>
        </w:rPr>
        <w:t>.201</w:t>
      </w:r>
      <w:r w:rsidR="008912B5">
        <w:rPr>
          <w:sz w:val="20"/>
          <w:szCs w:val="20"/>
        </w:rPr>
        <w:t>7</w:t>
      </w:r>
      <w:r w:rsidRPr="00146A10">
        <w:rPr>
          <w:sz w:val="20"/>
          <w:szCs w:val="20"/>
        </w:rPr>
        <w:t xml:space="preserve"> r.</w:t>
      </w:r>
    </w:p>
    <w:p w:rsidR="002B16E0" w:rsidRPr="00146A10" w:rsidRDefault="00416340">
      <w:pPr>
        <w:rPr>
          <w:rFonts w:cs="Arial"/>
        </w:rPr>
      </w:pPr>
      <w:r w:rsidRPr="00146A10">
        <w:rPr>
          <w:rFonts w:cs="Arial"/>
        </w:rPr>
        <w:t>Informacja prasowa</w:t>
      </w:r>
    </w:p>
    <w:p w:rsidR="005C1C13" w:rsidRDefault="005C1C13" w:rsidP="005C1C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BIK pozyskał kolejnego najemcę w Radomiu</w:t>
      </w:r>
    </w:p>
    <w:p w:rsidR="005C1C13" w:rsidRPr="00505247" w:rsidRDefault="005C1C13" w:rsidP="005C1C13">
      <w:pPr>
        <w:pStyle w:val="Tekstpodstawowy"/>
        <w:jc w:val="both"/>
        <w:rPr>
          <w:b/>
        </w:rPr>
      </w:pPr>
      <w:r>
        <w:rPr>
          <w:b/>
          <w:bCs/>
        </w:rPr>
        <w:t xml:space="preserve">Sieć </w:t>
      </w:r>
      <w:proofErr w:type="spellStart"/>
      <w:r>
        <w:rPr>
          <w:b/>
          <w:bCs/>
        </w:rPr>
        <w:t>Pepco</w:t>
      </w:r>
      <w:proofErr w:type="spellEnd"/>
      <w:r>
        <w:rPr>
          <w:b/>
          <w:bCs/>
        </w:rPr>
        <w:t xml:space="preserve"> będzie kolejnym najemcą w </w:t>
      </w:r>
      <w:r w:rsidR="002F6B5B">
        <w:rPr>
          <w:b/>
        </w:rPr>
        <w:t xml:space="preserve">parku handlowym w </w:t>
      </w:r>
      <w:r w:rsidR="002F6B5B" w:rsidRPr="00505247">
        <w:rPr>
          <w:b/>
        </w:rPr>
        <w:t>Radomiu</w:t>
      </w:r>
      <w:r w:rsidR="002F6B5B">
        <w:rPr>
          <w:b/>
          <w:bCs/>
        </w:rPr>
        <w:t xml:space="preserve"> </w:t>
      </w:r>
      <w:r>
        <w:rPr>
          <w:b/>
          <w:bCs/>
        </w:rPr>
        <w:t xml:space="preserve">budowanym przez </w:t>
      </w:r>
      <w:r w:rsidRPr="00505247">
        <w:rPr>
          <w:b/>
          <w:bCs/>
        </w:rPr>
        <w:t xml:space="preserve">Biuro Inwestycji Kapitałowych </w:t>
      </w:r>
      <w:r>
        <w:rPr>
          <w:b/>
          <w:bCs/>
        </w:rPr>
        <w:t xml:space="preserve">wspólnie z Quantum </w:t>
      </w:r>
      <w:proofErr w:type="spellStart"/>
      <w:r>
        <w:rPr>
          <w:b/>
          <w:bCs/>
        </w:rPr>
        <w:t>Developments</w:t>
      </w:r>
      <w:proofErr w:type="spellEnd"/>
      <w:r>
        <w:rPr>
          <w:b/>
        </w:rPr>
        <w:t xml:space="preserve">. Obiekt został już skomercjalizowany w </w:t>
      </w:r>
      <w:r w:rsidR="00F93830">
        <w:rPr>
          <w:b/>
        </w:rPr>
        <w:t>po</w:t>
      </w:r>
      <w:r>
        <w:rPr>
          <w:b/>
        </w:rPr>
        <w:t>nad 80%. Realizacja inwestycji postępuje zgodnie z planem, a jej z</w:t>
      </w:r>
      <w:r w:rsidRPr="00505247">
        <w:rPr>
          <w:b/>
        </w:rPr>
        <w:t xml:space="preserve">akończenie planowane jest na marzec 2018 r. </w:t>
      </w:r>
      <w:r w:rsidR="002F6B5B">
        <w:rPr>
          <w:b/>
        </w:rPr>
        <w:t xml:space="preserve"> </w:t>
      </w:r>
    </w:p>
    <w:p w:rsidR="005C1C13" w:rsidRDefault="00AB7E9C" w:rsidP="005C1C13">
      <w:pPr>
        <w:jc w:val="both"/>
      </w:pPr>
      <w:r>
        <w:rPr>
          <w:noProof/>
        </w:rPr>
        <w:drawing>
          <wp:inline distT="0" distB="0" distL="0" distR="0">
            <wp:extent cx="5744562" cy="2962893"/>
            <wp:effectExtent l="19050" t="0" r="8538" b="0"/>
            <wp:docPr id="3" name="Obraz 2" descr="Radom_R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om_R3_m.jpg"/>
                    <pic:cNvPicPr/>
                  </pic:nvPicPr>
                  <pic:blipFill>
                    <a:blip r:embed="rId6" cstate="print"/>
                    <a:srcRect t="19308" b="4323"/>
                    <a:stretch>
                      <a:fillRect/>
                    </a:stretch>
                  </pic:blipFill>
                  <pic:spPr>
                    <a:xfrm>
                      <a:off x="0" y="0"/>
                      <a:ext cx="5744562" cy="296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B5B" w:rsidRDefault="002F6B5B" w:rsidP="002F6B5B">
      <w:pPr>
        <w:jc w:val="both"/>
      </w:pPr>
      <w:r>
        <w:t xml:space="preserve">Biuro Inwestycji Kapitałowych Quantum Radom Sp. z o.o. zawarła umowę najmu z firmą </w:t>
      </w:r>
      <w:proofErr w:type="spellStart"/>
      <w:r>
        <w:t>Pepco</w:t>
      </w:r>
      <w:proofErr w:type="spellEnd"/>
      <w:r>
        <w:t xml:space="preserve"> Sp. z o.o., dotyczącą wynajmu ok. 500 m</w:t>
      </w:r>
      <w:r w:rsidRPr="002F6B5B">
        <w:rPr>
          <w:vertAlign w:val="superscript"/>
        </w:rPr>
        <w:t>2</w:t>
      </w:r>
      <w:r>
        <w:t xml:space="preserve"> </w:t>
      </w:r>
      <w:r w:rsidR="00E64882">
        <w:t xml:space="preserve">powierzchni </w:t>
      </w:r>
      <w:r>
        <w:t xml:space="preserve">w nowo budowanym </w:t>
      </w:r>
      <w:r w:rsidR="00B44537">
        <w:t>parku h</w:t>
      </w:r>
      <w:r>
        <w:t xml:space="preserve">andlowym w Radomiu przy ul. Struga. </w:t>
      </w:r>
      <w:r w:rsidR="00180DCB">
        <w:t xml:space="preserve">W efekcie obiekt jest obecnie skomercjalizowany na poziomie </w:t>
      </w:r>
      <w:r w:rsidR="00E64882">
        <w:t xml:space="preserve">już </w:t>
      </w:r>
      <w:r w:rsidR="00180DCB">
        <w:t>ok. 82%. Docelowo będzie oferował łącznie 5180 m</w:t>
      </w:r>
      <w:r w:rsidR="00180DCB" w:rsidRPr="00E64882">
        <w:rPr>
          <w:vertAlign w:val="superscript"/>
        </w:rPr>
        <w:t>2</w:t>
      </w:r>
      <w:r w:rsidR="00180DCB">
        <w:t xml:space="preserve"> powierzchni handlowej na działce liczące 1,1 hektara. </w:t>
      </w:r>
    </w:p>
    <w:p w:rsidR="0047443E" w:rsidRPr="00505247" w:rsidRDefault="0047443E" w:rsidP="0047443E">
      <w:pPr>
        <w:jc w:val="both"/>
        <w:rPr>
          <w:rFonts w:cs="Calibri"/>
        </w:rPr>
      </w:pPr>
      <w:r w:rsidRPr="0047443E">
        <w:rPr>
          <w:i/>
        </w:rPr>
        <w:t>„</w:t>
      </w:r>
      <w:r w:rsidR="00180DCB" w:rsidRPr="0047443E">
        <w:rPr>
          <w:i/>
        </w:rPr>
        <w:t>Oferowane przez nas powierzchnie są bardzo atrakcyjne dla najemców. Mimo, że zakończenie budowy jest planowane na początku wiosny przyszłego roku</w:t>
      </w:r>
      <w:r w:rsidR="00E64882">
        <w:rPr>
          <w:i/>
        </w:rPr>
        <w:t>,</w:t>
      </w:r>
      <w:r w:rsidR="00180DCB" w:rsidRPr="0047443E">
        <w:rPr>
          <w:i/>
        </w:rPr>
        <w:t xml:space="preserve"> mamy już podpisane umowy na</w:t>
      </w:r>
      <w:r w:rsidRPr="0047443E">
        <w:rPr>
          <w:i/>
        </w:rPr>
        <w:t>jmu na zdecydowaną większość obiektu. Dostępnych jest jeszcze około 910 m</w:t>
      </w:r>
      <w:r w:rsidRPr="0047443E">
        <w:rPr>
          <w:i/>
          <w:vertAlign w:val="superscript"/>
        </w:rPr>
        <w:t>2</w:t>
      </w:r>
      <w:r w:rsidR="00E64882">
        <w:rPr>
          <w:i/>
        </w:rPr>
        <w:t xml:space="preserve"> powierzchni”</w:t>
      </w:r>
      <w:r w:rsidRPr="0047443E">
        <w:rPr>
          <w:i/>
        </w:rPr>
        <w:t xml:space="preserve"> </w:t>
      </w:r>
      <w:r>
        <w:t xml:space="preserve">– podkreślił Mirosław </w:t>
      </w:r>
      <w:proofErr w:type="spellStart"/>
      <w:r>
        <w:t>Koszany</w:t>
      </w:r>
      <w:proofErr w:type="spellEnd"/>
      <w:r>
        <w:t xml:space="preserve">, Prezes Zarządu Biura Inwestycji Kapitałowych S.A. </w:t>
      </w:r>
      <w:r w:rsidRPr="00505247">
        <w:t xml:space="preserve"> </w:t>
      </w:r>
      <w:r>
        <w:t xml:space="preserve">Poza siecią </w:t>
      </w:r>
      <w:proofErr w:type="spellStart"/>
      <w:r>
        <w:t>Pepco</w:t>
      </w:r>
      <w:proofErr w:type="spellEnd"/>
      <w:r>
        <w:t xml:space="preserve">, </w:t>
      </w:r>
      <w:r w:rsidR="00E64882">
        <w:t xml:space="preserve">w </w:t>
      </w:r>
      <w:r w:rsidR="00B44537">
        <w:t>przygotowywanym radomskim parku handlowym znajd</w:t>
      </w:r>
      <w:r w:rsidR="003D67CC">
        <w:t>ą</w:t>
      </w:r>
      <w:bookmarkStart w:id="0" w:name="_GoBack"/>
      <w:bookmarkEnd w:id="0"/>
      <w:r w:rsidR="00B44537">
        <w:t xml:space="preserve"> się również </w:t>
      </w:r>
      <w:r w:rsidR="00E64882">
        <w:t xml:space="preserve">m.in. </w:t>
      </w:r>
      <w:r w:rsidR="00B44537">
        <w:t xml:space="preserve">drogeria Hebe, klub fitness Just </w:t>
      </w:r>
      <w:proofErr w:type="spellStart"/>
      <w:r w:rsidR="00B44537">
        <w:t>Gym</w:t>
      </w:r>
      <w:proofErr w:type="spellEnd"/>
      <w:r w:rsidR="00B44537">
        <w:t xml:space="preserve">, sieć z odzieżą KIK oraz Media </w:t>
      </w:r>
      <w:proofErr w:type="spellStart"/>
      <w:r w:rsidR="00B44537">
        <w:t>Expert</w:t>
      </w:r>
      <w:proofErr w:type="spellEnd"/>
      <w:r w:rsidR="00B44537">
        <w:t xml:space="preserve"> oferujący sprzęt RTV i AGD. </w:t>
      </w:r>
    </w:p>
    <w:p w:rsidR="00B44537" w:rsidRDefault="00F93830" w:rsidP="005C1C13">
      <w:pPr>
        <w:jc w:val="both"/>
      </w:pPr>
      <w:r>
        <w:t xml:space="preserve">Inwestycja, która ruszyła w maju tego roku jest realizowana zgodnie z harmonogramem. </w:t>
      </w:r>
      <w:r w:rsidR="005C1C13" w:rsidRPr="00505247">
        <w:t xml:space="preserve">Zakończenie całości prac związanych z budową parku handlowego ma nastąpić </w:t>
      </w:r>
      <w:r w:rsidR="00E64882">
        <w:t>do połowy</w:t>
      </w:r>
      <w:r w:rsidR="005C1C13" w:rsidRPr="00505247">
        <w:t xml:space="preserve"> marca 2018 roku.  </w:t>
      </w:r>
      <w:r w:rsidRPr="00505247">
        <w:rPr>
          <w:rFonts w:cs="Calibri"/>
          <w:color w:val="000000"/>
        </w:rPr>
        <w:t xml:space="preserve">Prace </w:t>
      </w:r>
      <w:r>
        <w:rPr>
          <w:rFonts w:cs="Calibri"/>
          <w:color w:val="000000"/>
        </w:rPr>
        <w:t xml:space="preserve">projektowe i budowlane </w:t>
      </w:r>
      <w:r w:rsidRPr="00505247">
        <w:rPr>
          <w:rFonts w:cs="Calibri"/>
          <w:color w:val="000000"/>
        </w:rPr>
        <w:t xml:space="preserve">w zakresie </w:t>
      </w:r>
      <w:r>
        <w:rPr>
          <w:rFonts w:cs="Calibri"/>
          <w:color w:val="000000"/>
        </w:rPr>
        <w:t xml:space="preserve">usług </w:t>
      </w:r>
      <w:r w:rsidRPr="00505247">
        <w:rPr>
          <w:rFonts w:cs="Calibri"/>
          <w:color w:val="000000"/>
        </w:rPr>
        <w:t xml:space="preserve">generalnego wykonawstwa </w:t>
      </w:r>
      <w:r>
        <w:rPr>
          <w:rFonts w:cs="Calibri"/>
          <w:color w:val="000000"/>
        </w:rPr>
        <w:t xml:space="preserve">prowadzi </w:t>
      </w:r>
      <w:r w:rsidRPr="00505247">
        <w:rPr>
          <w:rFonts w:cs="Calibri"/>
          <w:color w:val="000000"/>
        </w:rPr>
        <w:t>firm</w:t>
      </w:r>
      <w:r>
        <w:rPr>
          <w:rFonts w:cs="Calibri"/>
          <w:color w:val="000000"/>
        </w:rPr>
        <w:t>a</w:t>
      </w:r>
      <w:r w:rsidRPr="00505247">
        <w:rPr>
          <w:rFonts w:cs="Calibri"/>
          <w:color w:val="000000"/>
        </w:rPr>
        <w:t xml:space="preserve"> </w:t>
      </w:r>
      <w:proofErr w:type="spellStart"/>
      <w:r w:rsidRPr="00505247">
        <w:t>Rembor</w:t>
      </w:r>
      <w:proofErr w:type="spellEnd"/>
      <w:r w:rsidRPr="00505247">
        <w:t xml:space="preserve"> General z Tomaszowa Mazowieckiego.</w:t>
      </w:r>
    </w:p>
    <w:p w:rsidR="005C1C13" w:rsidRPr="00505247" w:rsidRDefault="0085625F" w:rsidP="0085625F">
      <w:pPr>
        <w:jc w:val="both"/>
        <w:rPr>
          <w:rFonts w:cs="Calibri"/>
          <w:b/>
        </w:rPr>
      </w:pPr>
      <w:r>
        <w:lastRenderedPageBreak/>
        <w:t xml:space="preserve">Biuro Inwestycji Kapitałowych Quantum Radom Sp. z o.o. jest spółką celową powołaną wspólnie z Quantum </w:t>
      </w:r>
      <w:proofErr w:type="spellStart"/>
      <w:r>
        <w:t>Developments</w:t>
      </w:r>
      <w:proofErr w:type="spellEnd"/>
      <w:r>
        <w:t xml:space="preserve"> sp. z o.o., w której Biuro Inwestycji Kapitałowych objęło 80% udziałów. </w:t>
      </w:r>
      <w:r w:rsidR="005C1C13">
        <w:rPr>
          <w:rFonts w:cs="Calibri"/>
        </w:rPr>
        <w:t>Biuro Inwestycji Kapitałowych</w:t>
      </w:r>
      <w:r w:rsidR="005C1C13" w:rsidRPr="00505247">
        <w:rPr>
          <w:rFonts w:cs="Calibri"/>
        </w:rPr>
        <w:t xml:space="preserve"> zarządza aktualnie trzema parkami logistycznymi: Centrum Logistycznym Kraków I, Centrum Logistycznym Kraków II oraz Śląskim Centrum Logistycznym w Sosnowcu o łącznej powierzchni najmu wynoszącej 55,8 tys. m</w:t>
      </w:r>
      <w:r w:rsidR="005C1C13" w:rsidRPr="00505247">
        <w:rPr>
          <w:rFonts w:cs="Calibri"/>
          <w:vertAlign w:val="superscript"/>
        </w:rPr>
        <w:t>2</w:t>
      </w:r>
      <w:r w:rsidR="005C1C13" w:rsidRPr="00505247">
        <w:rPr>
          <w:rFonts w:cs="Calibri"/>
        </w:rPr>
        <w:t>. W ramach dywersyfikacji działalności zajmuje się także budową i wynajmem nowoczesnych powierzchni handlowych w segmencie parków handlowych (</w:t>
      </w:r>
      <w:proofErr w:type="spellStart"/>
      <w:r w:rsidR="005C1C13" w:rsidRPr="00505247">
        <w:rPr>
          <w:rFonts w:cs="Calibri"/>
        </w:rPr>
        <w:t>retail</w:t>
      </w:r>
      <w:proofErr w:type="spellEnd"/>
      <w:r w:rsidR="005C1C13" w:rsidRPr="00505247">
        <w:rPr>
          <w:rFonts w:cs="Calibri"/>
        </w:rPr>
        <w:t xml:space="preserve"> parków). </w:t>
      </w:r>
    </w:p>
    <w:p w:rsidR="00A10589" w:rsidRDefault="00A10589" w:rsidP="00A105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A10589" w:rsidRDefault="00A10589" w:rsidP="00A10589">
      <w:pPr>
        <w:spacing w:before="120" w:after="120" w:line="240" w:lineRule="auto"/>
        <w:jc w:val="both"/>
        <w:rPr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 mkw.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</w:t>
      </w:r>
    </w:p>
    <w:p w:rsidR="00A10589" w:rsidRPr="007D6B23" w:rsidRDefault="00A10589" w:rsidP="00A10589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</w:t>
      </w:r>
      <w:r w:rsidRPr="007D6B23">
        <w:rPr>
          <w:sz w:val="16"/>
          <w:szCs w:val="16"/>
        </w:rPr>
        <w:t xml:space="preserve">. </w:t>
      </w:r>
    </w:p>
    <w:p w:rsidR="005C6DC7" w:rsidRPr="004E0F61" w:rsidRDefault="00A10589" w:rsidP="00093B7B">
      <w:pPr>
        <w:pStyle w:val="Default"/>
        <w:spacing w:after="240"/>
        <w:jc w:val="both"/>
        <w:rPr>
          <w:rFonts w:ascii="Calibri" w:hAnsi="Calibri" w:cs="Calibri"/>
          <w:sz w:val="16"/>
          <w:szCs w:val="16"/>
        </w:rPr>
      </w:pPr>
      <w:r w:rsidRPr="004E0F61">
        <w:rPr>
          <w:rFonts w:ascii="Calibri" w:hAnsi="Calibri" w:cs="Calibri"/>
          <w:sz w:val="16"/>
          <w:szCs w:val="16"/>
        </w:rPr>
        <w:t xml:space="preserve"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</w:t>
      </w:r>
    </w:p>
    <w:p w:rsidR="00A10589" w:rsidRPr="004E0F61" w:rsidRDefault="00093B7B" w:rsidP="00093B7B">
      <w:pPr>
        <w:pStyle w:val="Default"/>
        <w:spacing w:after="240"/>
        <w:jc w:val="both"/>
        <w:rPr>
          <w:rFonts w:ascii="Calibri" w:hAnsi="Calibri" w:cs="Calibri"/>
          <w:sz w:val="16"/>
          <w:szCs w:val="16"/>
        </w:rPr>
      </w:pPr>
      <w:r w:rsidRPr="004E0F61">
        <w:rPr>
          <w:rFonts w:ascii="Calibri" w:hAnsi="Calibri" w:cs="Calibri"/>
          <w:sz w:val="16"/>
          <w:szCs w:val="16"/>
        </w:rPr>
        <w:t xml:space="preserve">Biuro Inwestycji Kapitałowych S.A. jesienią 2016 r. przeprowadziło publiczną emisję akcji, </w:t>
      </w:r>
      <w:r w:rsidRPr="004E0F61">
        <w:rPr>
          <w:rFonts w:ascii="Calibri" w:hAnsi="Calibri" w:cs="Calibri"/>
          <w:color w:val="auto"/>
          <w:sz w:val="16"/>
          <w:szCs w:val="16"/>
        </w:rPr>
        <w:t xml:space="preserve">debiutując w dniu 23 listopada </w:t>
      </w:r>
      <w:r w:rsidRPr="004E0F61">
        <w:rPr>
          <w:rFonts w:ascii="Calibri" w:hAnsi="Calibri" w:cs="Calibri"/>
          <w:sz w:val="16"/>
          <w:szCs w:val="16"/>
        </w:rPr>
        <w:t xml:space="preserve">2016 r. </w:t>
      </w:r>
      <w:r w:rsidRPr="004E0F61">
        <w:rPr>
          <w:rFonts w:ascii="Calibri" w:hAnsi="Calibri" w:cs="Calibri"/>
          <w:color w:val="auto"/>
          <w:sz w:val="16"/>
          <w:szCs w:val="16"/>
        </w:rPr>
        <w:t>na głównym parkiecie Giełdy Papierów Wartościowych w Warszawie.</w:t>
      </w:r>
    </w:p>
    <w:p w:rsidR="00A10589" w:rsidRDefault="00A10589" w:rsidP="00A105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2B16E0" w:rsidRPr="00146A10" w:rsidRDefault="00416340">
      <w:pPr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:rsidR="002B16E0" w:rsidRPr="00146A10" w:rsidRDefault="00416340">
      <w:pPr>
        <w:pStyle w:val="Stopka"/>
        <w:rPr>
          <w:sz w:val="18"/>
          <w:szCs w:val="18"/>
        </w:rPr>
      </w:pPr>
      <w:r w:rsidRPr="00146A10">
        <w:rPr>
          <w:sz w:val="18"/>
          <w:szCs w:val="18"/>
        </w:rPr>
        <w:t>Agencja Tauber Promotion</w:t>
      </w:r>
    </w:p>
    <w:p w:rsidR="002B16E0" w:rsidRPr="00146A10" w:rsidRDefault="002B16E0">
      <w:pPr>
        <w:pStyle w:val="Stopka"/>
        <w:rPr>
          <w:sz w:val="18"/>
          <w:szCs w:val="18"/>
        </w:rPr>
      </w:pPr>
    </w:p>
    <w:p w:rsidR="002B16E0" w:rsidRPr="00716223" w:rsidRDefault="00416340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>Mariusz Skowronek,</w:t>
      </w:r>
    </w:p>
    <w:p w:rsidR="002B16E0" w:rsidRPr="00716223" w:rsidRDefault="00416340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e-mail: </w:t>
      </w:r>
      <w:hyperlink r:id="rId7" w:history="1">
        <w:r w:rsidR="0009773C" w:rsidRPr="00716223">
          <w:rPr>
            <w:rStyle w:val="Hipercze"/>
            <w:sz w:val="18"/>
            <w:szCs w:val="18"/>
          </w:rPr>
          <w:t>mskowronek@tauber.com.pl</w:t>
        </w:r>
      </w:hyperlink>
      <w:r w:rsidR="0009773C" w:rsidRPr="00716223">
        <w:rPr>
          <w:sz w:val="18"/>
          <w:szCs w:val="18"/>
        </w:rPr>
        <w:t xml:space="preserve"> </w:t>
      </w:r>
    </w:p>
    <w:p w:rsidR="002B16E0" w:rsidRPr="00716223" w:rsidRDefault="00416340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>Tel.: +22 833 35 02; 698 612 866</w:t>
      </w:r>
    </w:p>
    <w:p w:rsidR="002B16E0" w:rsidRPr="00716223" w:rsidRDefault="00416340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 </w:t>
      </w:r>
    </w:p>
    <w:p w:rsidR="002B16E0" w:rsidRPr="00716223" w:rsidRDefault="00416340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Andrzej Kazimierczak, </w:t>
      </w:r>
    </w:p>
    <w:p w:rsidR="002B16E0" w:rsidRPr="00716223" w:rsidRDefault="00416340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e-mail: </w:t>
      </w:r>
      <w:hyperlink r:id="rId8" w:history="1">
        <w:r w:rsidR="0009773C" w:rsidRPr="00716223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="0009773C" w:rsidRPr="00716223">
        <w:rPr>
          <w:sz w:val="18"/>
          <w:szCs w:val="18"/>
          <w:lang w:val="de-DE"/>
        </w:rPr>
        <w:t xml:space="preserve"> </w:t>
      </w:r>
    </w:p>
    <w:p w:rsidR="002B16E0" w:rsidRPr="00716223" w:rsidRDefault="00416340" w:rsidP="00716223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Tel.: +22 833 35 </w:t>
      </w:r>
      <w:r w:rsidRPr="00716223">
        <w:rPr>
          <w:rFonts w:cs="Calibri"/>
          <w:sz w:val="18"/>
          <w:szCs w:val="18"/>
        </w:rPr>
        <w:t xml:space="preserve">02; </w:t>
      </w:r>
      <w:r w:rsidR="0017581D" w:rsidRPr="00716223">
        <w:rPr>
          <w:rFonts w:cs="Calibri"/>
          <w:noProof/>
          <w:sz w:val="18"/>
          <w:szCs w:val="18"/>
        </w:rPr>
        <w:t>660 254 132</w:t>
      </w:r>
    </w:p>
    <w:sectPr w:rsidR="002B16E0" w:rsidRPr="00716223" w:rsidSect="002B16E0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4D" w:rsidRDefault="0075284D" w:rsidP="002B16E0">
      <w:pPr>
        <w:spacing w:after="0" w:line="240" w:lineRule="auto"/>
      </w:pPr>
      <w:r>
        <w:separator/>
      </w:r>
    </w:p>
  </w:endnote>
  <w:endnote w:type="continuationSeparator" w:id="0">
    <w:p w:rsidR="0075284D" w:rsidRDefault="0075284D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46" w:rsidRDefault="000375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4D" w:rsidRDefault="0075284D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75284D" w:rsidRDefault="0075284D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46" w:rsidRDefault="000375BD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B16E0"/>
    <w:rsid w:val="00006746"/>
    <w:rsid w:val="000179F7"/>
    <w:rsid w:val="00031AB5"/>
    <w:rsid w:val="000375BD"/>
    <w:rsid w:val="000378FF"/>
    <w:rsid w:val="000634EB"/>
    <w:rsid w:val="00064585"/>
    <w:rsid w:val="000706F4"/>
    <w:rsid w:val="00072E62"/>
    <w:rsid w:val="00093B7B"/>
    <w:rsid w:val="0009773C"/>
    <w:rsid w:val="000B2793"/>
    <w:rsid w:val="000C22CA"/>
    <w:rsid w:val="000C634A"/>
    <w:rsid w:val="000D2C88"/>
    <w:rsid w:val="00105EFC"/>
    <w:rsid w:val="00122A13"/>
    <w:rsid w:val="00141EC1"/>
    <w:rsid w:val="00146A10"/>
    <w:rsid w:val="00147582"/>
    <w:rsid w:val="001679C7"/>
    <w:rsid w:val="0017581D"/>
    <w:rsid w:val="00175C87"/>
    <w:rsid w:val="00180DCB"/>
    <w:rsid w:val="0018735D"/>
    <w:rsid w:val="001A6317"/>
    <w:rsid w:val="001B2D33"/>
    <w:rsid w:val="001B429D"/>
    <w:rsid w:val="001E330B"/>
    <w:rsid w:val="001F668A"/>
    <w:rsid w:val="00216F29"/>
    <w:rsid w:val="00223643"/>
    <w:rsid w:val="002301D0"/>
    <w:rsid w:val="00243935"/>
    <w:rsid w:val="00256D7E"/>
    <w:rsid w:val="00261B2E"/>
    <w:rsid w:val="00283470"/>
    <w:rsid w:val="002B0D3B"/>
    <w:rsid w:val="002B16E0"/>
    <w:rsid w:val="002D2FD8"/>
    <w:rsid w:val="002D52FA"/>
    <w:rsid w:val="002E0173"/>
    <w:rsid w:val="002E25A7"/>
    <w:rsid w:val="002F26AD"/>
    <w:rsid w:val="002F38E2"/>
    <w:rsid w:val="002F6B5B"/>
    <w:rsid w:val="00310A3A"/>
    <w:rsid w:val="00311692"/>
    <w:rsid w:val="003220B7"/>
    <w:rsid w:val="003235D8"/>
    <w:rsid w:val="00344C9D"/>
    <w:rsid w:val="003506AD"/>
    <w:rsid w:val="0035718D"/>
    <w:rsid w:val="00362A81"/>
    <w:rsid w:val="003904D5"/>
    <w:rsid w:val="00394E28"/>
    <w:rsid w:val="003B08C0"/>
    <w:rsid w:val="003C32A8"/>
    <w:rsid w:val="003D67CC"/>
    <w:rsid w:val="003E2D29"/>
    <w:rsid w:val="00402746"/>
    <w:rsid w:val="00402F0F"/>
    <w:rsid w:val="00416340"/>
    <w:rsid w:val="004179E9"/>
    <w:rsid w:val="00425B10"/>
    <w:rsid w:val="0042770C"/>
    <w:rsid w:val="00454825"/>
    <w:rsid w:val="00460AE8"/>
    <w:rsid w:val="0047218A"/>
    <w:rsid w:val="0047443E"/>
    <w:rsid w:val="00474F4B"/>
    <w:rsid w:val="00475A3B"/>
    <w:rsid w:val="0048377E"/>
    <w:rsid w:val="004A7F79"/>
    <w:rsid w:val="004B26D3"/>
    <w:rsid w:val="004C76C0"/>
    <w:rsid w:val="004D36C3"/>
    <w:rsid w:val="004D4048"/>
    <w:rsid w:val="004E0F61"/>
    <w:rsid w:val="004E28A3"/>
    <w:rsid w:val="004F4EBC"/>
    <w:rsid w:val="00515B03"/>
    <w:rsid w:val="00517F89"/>
    <w:rsid w:val="00527B45"/>
    <w:rsid w:val="005421E9"/>
    <w:rsid w:val="00580580"/>
    <w:rsid w:val="00582636"/>
    <w:rsid w:val="005837F1"/>
    <w:rsid w:val="00591817"/>
    <w:rsid w:val="005A0069"/>
    <w:rsid w:val="005B20D4"/>
    <w:rsid w:val="005C1C13"/>
    <w:rsid w:val="005C4624"/>
    <w:rsid w:val="005C6DC7"/>
    <w:rsid w:val="005C7497"/>
    <w:rsid w:val="005E790E"/>
    <w:rsid w:val="005F7701"/>
    <w:rsid w:val="0061284B"/>
    <w:rsid w:val="00614196"/>
    <w:rsid w:val="006368BB"/>
    <w:rsid w:val="0064598E"/>
    <w:rsid w:val="00660CAE"/>
    <w:rsid w:val="006730B6"/>
    <w:rsid w:val="006835C0"/>
    <w:rsid w:val="0069620F"/>
    <w:rsid w:val="006A2ACF"/>
    <w:rsid w:val="006B5ECD"/>
    <w:rsid w:val="006C05AF"/>
    <w:rsid w:val="006E7981"/>
    <w:rsid w:val="00700879"/>
    <w:rsid w:val="00707066"/>
    <w:rsid w:val="007135CA"/>
    <w:rsid w:val="00713686"/>
    <w:rsid w:val="00716223"/>
    <w:rsid w:val="007168A3"/>
    <w:rsid w:val="00733390"/>
    <w:rsid w:val="007455A9"/>
    <w:rsid w:val="0075001F"/>
    <w:rsid w:val="0075284D"/>
    <w:rsid w:val="00775E26"/>
    <w:rsid w:val="00786FED"/>
    <w:rsid w:val="00795F07"/>
    <w:rsid w:val="007A429E"/>
    <w:rsid w:val="007B5580"/>
    <w:rsid w:val="007B55D8"/>
    <w:rsid w:val="007D5E42"/>
    <w:rsid w:val="008010E1"/>
    <w:rsid w:val="00816ED8"/>
    <w:rsid w:val="0085602E"/>
    <w:rsid w:val="0085625F"/>
    <w:rsid w:val="008661B7"/>
    <w:rsid w:val="008670B5"/>
    <w:rsid w:val="00870673"/>
    <w:rsid w:val="00874072"/>
    <w:rsid w:val="00881414"/>
    <w:rsid w:val="008912B5"/>
    <w:rsid w:val="008B7627"/>
    <w:rsid w:val="008C40F2"/>
    <w:rsid w:val="00901D18"/>
    <w:rsid w:val="009119E8"/>
    <w:rsid w:val="00921B20"/>
    <w:rsid w:val="0093134C"/>
    <w:rsid w:val="00936671"/>
    <w:rsid w:val="00943443"/>
    <w:rsid w:val="00975166"/>
    <w:rsid w:val="00986019"/>
    <w:rsid w:val="009B15F5"/>
    <w:rsid w:val="009C118D"/>
    <w:rsid w:val="009C7A72"/>
    <w:rsid w:val="009E55F0"/>
    <w:rsid w:val="009F7BFE"/>
    <w:rsid w:val="00A10589"/>
    <w:rsid w:val="00A20599"/>
    <w:rsid w:val="00A21E70"/>
    <w:rsid w:val="00A24C19"/>
    <w:rsid w:val="00A40067"/>
    <w:rsid w:val="00A730D2"/>
    <w:rsid w:val="00A772E9"/>
    <w:rsid w:val="00A94A0F"/>
    <w:rsid w:val="00AA6CA5"/>
    <w:rsid w:val="00AB7E9C"/>
    <w:rsid w:val="00AD1E8C"/>
    <w:rsid w:val="00AE5E5E"/>
    <w:rsid w:val="00B30FC1"/>
    <w:rsid w:val="00B31991"/>
    <w:rsid w:val="00B43BC7"/>
    <w:rsid w:val="00B44537"/>
    <w:rsid w:val="00B63A68"/>
    <w:rsid w:val="00B910F8"/>
    <w:rsid w:val="00B96D82"/>
    <w:rsid w:val="00BA129D"/>
    <w:rsid w:val="00BB1508"/>
    <w:rsid w:val="00BB4CB9"/>
    <w:rsid w:val="00BB7FDE"/>
    <w:rsid w:val="00BC2107"/>
    <w:rsid w:val="00C06991"/>
    <w:rsid w:val="00C172A1"/>
    <w:rsid w:val="00C22A42"/>
    <w:rsid w:val="00C34C52"/>
    <w:rsid w:val="00C369B6"/>
    <w:rsid w:val="00C449D8"/>
    <w:rsid w:val="00C614DD"/>
    <w:rsid w:val="00C6219E"/>
    <w:rsid w:val="00C67BC9"/>
    <w:rsid w:val="00C77D05"/>
    <w:rsid w:val="00C938FB"/>
    <w:rsid w:val="00CA75BA"/>
    <w:rsid w:val="00CB0BB8"/>
    <w:rsid w:val="00CB6058"/>
    <w:rsid w:val="00CB7D00"/>
    <w:rsid w:val="00CD5C35"/>
    <w:rsid w:val="00CD6247"/>
    <w:rsid w:val="00CD77F8"/>
    <w:rsid w:val="00CE0C53"/>
    <w:rsid w:val="00CE31B4"/>
    <w:rsid w:val="00CF3014"/>
    <w:rsid w:val="00D016C7"/>
    <w:rsid w:val="00D160C2"/>
    <w:rsid w:val="00D202A1"/>
    <w:rsid w:val="00D248FE"/>
    <w:rsid w:val="00D37732"/>
    <w:rsid w:val="00D408F6"/>
    <w:rsid w:val="00D41156"/>
    <w:rsid w:val="00D52D8D"/>
    <w:rsid w:val="00D53E0D"/>
    <w:rsid w:val="00D710BB"/>
    <w:rsid w:val="00D84871"/>
    <w:rsid w:val="00D87427"/>
    <w:rsid w:val="00DA5CC4"/>
    <w:rsid w:val="00DA7645"/>
    <w:rsid w:val="00DB6267"/>
    <w:rsid w:val="00DC6425"/>
    <w:rsid w:val="00DD3A32"/>
    <w:rsid w:val="00DD667A"/>
    <w:rsid w:val="00E16ADB"/>
    <w:rsid w:val="00E32AF2"/>
    <w:rsid w:val="00E50FB6"/>
    <w:rsid w:val="00E51931"/>
    <w:rsid w:val="00E52A63"/>
    <w:rsid w:val="00E64882"/>
    <w:rsid w:val="00E8134C"/>
    <w:rsid w:val="00E97346"/>
    <w:rsid w:val="00ED3AA4"/>
    <w:rsid w:val="00EE327F"/>
    <w:rsid w:val="00EE5330"/>
    <w:rsid w:val="00F134D2"/>
    <w:rsid w:val="00F239AE"/>
    <w:rsid w:val="00F24A98"/>
    <w:rsid w:val="00F45C2B"/>
    <w:rsid w:val="00F47395"/>
    <w:rsid w:val="00F804EC"/>
    <w:rsid w:val="00F87DAA"/>
    <w:rsid w:val="00F93830"/>
    <w:rsid w:val="00F9778C"/>
    <w:rsid w:val="00FA3335"/>
    <w:rsid w:val="00FB4063"/>
    <w:rsid w:val="00FB6BDC"/>
    <w:rsid w:val="00FC3DC9"/>
    <w:rsid w:val="00FE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3673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13</cp:revision>
  <dcterms:created xsi:type="dcterms:W3CDTF">2017-07-28T11:10:00Z</dcterms:created>
  <dcterms:modified xsi:type="dcterms:W3CDTF">2017-08-30T07:47:00Z</dcterms:modified>
</cp:coreProperties>
</file>