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F6664E">
      <w:pPr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CA448B">
        <w:rPr>
          <w:sz w:val="20"/>
          <w:szCs w:val="20"/>
        </w:rPr>
        <w:t>31.03</w:t>
      </w:r>
      <w:r w:rsidR="0063144C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600428">
        <w:rPr>
          <w:sz w:val="20"/>
          <w:szCs w:val="20"/>
        </w:rPr>
        <w:t>6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F6664E">
      <w:pPr>
        <w:rPr>
          <w:rFonts w:cs="Arial"/>
        </w:rPr>
      </w:pPr>
      <w:r w:rsidRPr="006A0C2F">
        <w:rPr>
          <w:rFonts w:cs="Arial"/>
        </w:rPr>
        <w:t>Informacja prasowa</w:t>
      </w:r>
    </w:p>
    <w:p w:rsidR="00ED142A" w:rsidRDefault="003E33EC" w:rsidP="00F666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BIK S.A.</w:t>
      </w:r>
      <w:r w:rsidR="005F2271">
        <w:rPr>
          <w:b/>
          <w:bCs/>
          <w:sz w:val="28"/>
          <w:szCs w:val="28"/>
        </w:rPr>
        <w:t xml:space="preserve"> </w:t>
      </w:r>
      <w:r w:rsidR="004B51C0">
        <w:rPr>
          <w:b/>
          <w:bCs/>
          <w:sz w:val="28"/>
          <w:szCs w:val="28"/>
        </w:rPr>
        <w:t>z nowym</w:t>
      </w:r>
      <w:r w:rsidR="000D1889">
        <w:rPr>
          <w:b/>
          <w:bCs/>
          <w:sz w:val="28"/>
          <w:szCs w:val="28"/>
        </w:rPr>
        <w:t xml:space="preserve"> </w:t>
      </w:r>
      <w:r w:rsidR="004B51C0">
        <w:rPr>
          <w:b/>
          <w:bCs/>
          <w:sz w:val="28"/>
          <w:szCs w:val="28"/>
        </w:rPr>
        <w:t>harmonogramem</w:t>
      </w:r>
      <w:r w:rsidR="00D45257">
        <w:rPr>
          <w:b/>
          <w:bCs/>
          <w:sz w:val="28"/>
          <w:szCs w:val="28"/>
        </w:rPr>
        <w:t xml:space="preserve"> Ofert</w:t>
      </w:r>
      <w:r w:rsidR="000D1889">
        <w:rPr>
          <w:b/>
          <w:bCs/>
          <w:sz w:val="28"/>
          <w:szCs w:val="28"/>
        </w:rPr>
        <w:t>y</w:t>
      </w:r>
      <w:r w:rsidR="00D45257">
        <w:rPr>
          <w:b/>
          <w:bCs/>
          <w:sz w:val="28"/>
          <w:szCs w:val="28"/>
        </w:rPr>
        <w:t xml:space="preserve"> Publiczn</w:t>
      </w:r>
      <w:r w:rsidR="000D1889">
        <w:rPr>
          <w:b/>
          <w:bCs/>
          <w:sz w:val="28"/>
          <w:szCs w:val="28"/>
        </w:rPr>
        <w:t>ej</w:t>
      </w:r>
    </w:p>
    <w:p w:rsidR="003E33EC" w:rsidRPr="0032614F" w:rsidRDefault="00A43620" w:rsidP="00F6664E">
      <w:pPr>
        <w:pStyle w:val="Tekstpodstawowy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Biuro</w:t>
      </w:r>
      <w:r w:rsidR="003E33EC" w:rsidRPr="0032614F">
        <w:rPr>
          <w:b/>
          <w:sz w:val="24"/>
          <w:szCs w:val="24"/>
        </w:rPr>
        <w:t xml:space="preserve"> Inwestycji Kapitałowych S.A. </w:t>
      </w:r>
      <w:r w:rsidR="00D45257">
        <w:rPr>
          <w:b/>
          <w:sz w:val="24"/>
          <w:szCs w:val="24"/>
        </w:rPr>
        <w:t>pod</w:t>
      </w:r>
      <w:r w:rsidR="00871F6A">
        <w:rPr>
          <w:b/>
          <w:sz w:val="24"/>
          <w:szCs w:val="24"/>
        </w:rPr>
        <w:t>ało</w:t>
      </w:r>
      <w:r w:rsidR="00D45257">
        <w:rPr>
          <w:b/>
          <w:sz w:val="24"/>
          <w:szCs w:val="24"/>
        </w:rPr>
        <w:t xml:space="preserve"> </w:t>
      </w:r>
      <w:r w:rsidR="00871F6A">
        <w:rPr>
          <w:b/>
          <w:sz w:val="24"/>
          <w:szCs w:val="24"/>
        </w:rPr>
        <w:t>now</w:t>
      </w:r>
      <w:r w:rsidR="004B51C0">
        <w:rPr>
          <w:b/>
          <w:sz w:val="24"/>
          <w:szCs w:val="24"/>
        </w:rPr>
        <w:t>e</w:t>
      </w:r>
      <w:r w:rsidR="00871F6A">
        <w:rPr>
          <w:b/>
          <w:sz w:val="24"/>
          <w:szCs w:val="24"/>
        </w:rPr>
        <w:t xml:space="preserve"> </w:t>
      </w:r>
      <w:r w:rsidR="004B51C0">
        <w:rPr>
          <w:b/>
          <w:sz w:val="24"/>
          <w:szCs w:val="24"/>
        </w:rPr>
        <w:t xml:space="preserve">terminy </w:t>
      </w:r>
      <w:r w:rsidR="00820075">
        <w:rPr>
          <w:b/>
          <w:sz w:val="24"/>
          <w:szCs w:val="24"/>
        </w:rPr>
        <w:t>O</w:t>
      </w:r>
      <w:r w:rsidR="00D45257">
        <w:rPr>
          <w:b/>
          <w:sz w:val="24"/>
          <w:szCs w:val="24"/>
        </w:rPr>
        <w:t xml:space="preserve">ferty </w:t>
      </w:r>
      <w:r w:rsidR="00820075">
        <w:rPr>
          <w:b/>
          <w:sz w:val="24"/>
          <w:szCs w:val="24"/>
        </w:rPr>
        <w:t>P</w:t>
      </w:r>
      <w:r w:rsidR="00D45257">
        <w:rPr>
          <w:b/>
          <w:sz w:val="24"/>
          <w:szCs w:val="24"/>
        </w:rPr>
        <w:t xml:space="preserve">ublicznej. </w:t>
      </w:r>
      <w:r w:rsidR="00871F6A">
        <w:rPr>
          <w:b/>
          <w:sz w:val="24"/>
          <w:szCs w:val="24"/>
        </w:rPr>
        <w:t xml:space="preserve">Zapisy </w:t>
      </w:r>
      <w:r w:rsidR="008E2D7E">
        <w:rPr>
          <w:b/>
          <w:sz w:val="24"/>
          <w:szCs w:val="24"/>
        </w:rPr>
        <w:t>w Transzy I</w:t>
      </w:r>
      <w:r w:rsidR="00871F6A">
        <w:rPr>
          <w:b/>
          <w:sz w:val="24"/>
          <w:szCs w:val="24"/>
        </w:rPr>
        <w:t xml:space="preserve">nwestorów </w:t>
      </w:r>
      <w:r w:rsidR="008E2D7E">
        <w:rPr>
          <w:b/>
          <w:sz w:val="24"/>
          <w:szCs w:val="24"/>
        </w:rPr>
        <w:t>I</w:t>
      </w:r>
      <w:r w:rsidR="00871F6A">
        <w:rPr>
          <w:b/>
          <w:sz w:val="24"/>
          <w:szCs w:val="24"/>
        </w:rPr>
        <w:t xml:space="preserve">ndywidualnych będą prowadzone w dniach </w:t>
      </w:r>
      <w:r w:rsidR="00297A20">
        <w:rPr>
          <w:b/>
          <w:sz w:val="24"/>
          <w:szCs w:val="24"/>
        </w:rPr>
        <w:t>1</w:t>
      </w:r>
      <w:r w:rsidR="00674F37">
        <w:rPr>
          <w:b/>
          <w:sz w:val="24"/>
          <w:szCs w:val="24"/>
        </w:rPr>
        <w:t>4</w:t>
      </w:r>
      <w:r w:rsidR="00871F6A">
        <w:rPr>
          <w:b/>
          <w:sz w:val="24"/>
          <w:szCs w:val="24"/>
        </w:rPr>
        <w:t>-</w:t>
      </w:r>
      <w:r w:rsidR="00297A20">
        <w:rPr>
          <w:b/>
          <w:sz w:val="24"/>
          <w:szCs w:val="24"/>
        </w:rPr>
        <w:t>19</w:t>
      </w:r>
      <w:r w:rsidR="00871F6A">
        <w:rPr>
          <w:b/>
          <w:sz w:val="24"/>
          <w:szCs w:val="24"/>
        </w:rPr>
        <w:t xml:space="preserve"> kwietnia br</w:t>
      </w:r>
      <w:r w:rsidR="00D45257">
        <w:rPr>
          <w:b/>
          <w:sz w:val="24"/>
          <w:szCs w:val="24"/>
        </w:rPr>
        <w:t>.</w:t>
      </w:r>
      <w:r w:rsidR="00871F6A">
        <w:rPr>
          <w:b/>
          <w:sz w:val="24"/>
          <w:szCs w:val="24"/>
        </w:rPr>
        <w:t xml:space="preserve"> </w:t>
      </w:r>
      <w:r w:rsidR="004B51C0">
        <w:rPr>
          <w:b/>
          <w:sz w:val="24"/>
          <w:szCs w:val="24"/>
        </w:rPr>
        <w:t>Ostateczna c</w:t>
      </w:r>
      <w:r w:rsidR="00871F6A">
        <w:rPr>
          <w:b/>
          <w:sz w:val="24"/>
          <w:szCs w:val="24"/>
        </w:rPr>
        <w:t xml:space="preserve">ena emisyjna </w:t>
      </w:r>
      <w:r w:rsidR="004B51C0">
        <w:rPr>
          <w:b/>
          <w:sz w:val="24"/>
          <w:szCs w:val="24"/>
        </w:rPr>
        <w:t>po jakiej będą sprzedawane akcje</w:t>
      </w:r>
      <w:r w:rsidR="00297A20">
        <w:rPr>
          <w:b/>
          <w:sz w:val="24"/>
          <w:szCs w:val="24"/>
        </w:rPr>
        <w:t xml:space="preserve"> </w:t>
      </w:r>
      <w:r w:rsidR="00871F6A">
        <w:rPr>
          <w:b/>
          <w:sz w:val="24"/>
          <w:szCs w:val="24"/>
        </w:rPr>
        <w:t xml:space="preserve">zostanie określona </w:t>
      </w:r>
      <w:r w:rsidR="00297A20">
        <w:rPr>
          <w:b/>
          <w:sz w:val="24"/>
          <w:szCs w:val="24"/>
        </w:rPr>
        <w:t>przed rozpoczęciem zapisów</w:t>
      </w:r>
      <w:r w:rsidR="00871F6A">
        <w:rPr>
          <w:b/>
          <w:sz w:val="24"/>
          <w:szCs w:val="24"/>
        </w:rPr>
        <w:t>.</w:t>
      </w:r>
      <w:r w:rsidR="00297A20">
        <w:rPr>
          <w:b/>
          <w:sz w:val="24"/>
          <w:szCs w:val="24"/>
        </w:rPr>
        <w:t xml:space="preserve"> Debiut na GPW planowa</w:t>
      </w:r>
      <w:r w:rsidR="00CA448B">
        <w:rPr>
          <w:b/>
          <w:sz w:val="24"/>
          <w:szCs w:val="24"/>
        </w:rPr>
        <w:t>n</w:t>
      </w:r>
      <w:r w:rsidR="00297A20">
        <w:rPr>
          <w:b/>
          <w:sz w:val="24"/>
          <w:szCs w:val="24"/>
        </w:rPr>
        <w:t xml:space="preserve">y jest w </w:t>
      </w:r>
      <w:r w:rsidR="000A0B2E">
        <w:rPr>
          <w:b/>
          <w:sz w:val="24"/>
          <w:szCs w:val="24"/>
        </w:rPr>
        <w:t xml:space="preserve">pierwszej </w:t>
      </w:r>
      <w:r w:rsidR="00297A20">
        <w:rPr>
          <w:b/>
          <w:sz w:val="24"/>
          <w:szCs w:val="24"/>
        </w:rPr>
        <w:t xml:space="preserve">połowie </w:t>
      </w:r>
      <w:r w:rsidR="004B51C0">
        <w:rPr>
          <w:b/>
          <w:sz w:val="24"/>
          <w:szCs w:val="24"/>
        </w:rPr>
        <w:t>m</w:t>
      </w:r>
      <w:r w:rsidR="00297A20">
        <w:rPr>
          <w:b/>
          <w:sz w:val="24"/>
          <w:szCs w:val="24"/>
        </w:rPr>
        <w:t>aja</w:t>
      </w:r>
      <w:r w:rsidR="004B51C0">
        <w:rPr>
          <w:b/>
          <w:sz w:val="24"/>
          <w:szCs w:val="24"/>
        </w:rPr>
        <w:t xml:space="preserve"> br</w:t>
      </w:r>
      <w:r w:rsidR="00297A20">
        <w:rPr>
          <w:b/>
          <w:sz w:val="24"/>
          <w:szCs w:val="24"/>
        </w:rPr>
        <w:t>.</w:t>
      </w:r>
    </w:p>
    <w:p w:rsidR="00245CFF" w:rsidRDefault="00820075" w:rsidP="00F666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Biuro Inwestycji Kapitałowych S.A. opublikowało komunikat aktualizacyjny do prospektu emisyjnego, zatwierdzonego przez K</w:t>
      </w:r>
      <w:r w:rsidR="00E57DE1">
        <w:rPr>
          <w:rFonts w:ascii="Calibri" w:hAnsi="Calibri" w:cs="Calibri"/>
        </w:rPr>
        <w:t xml:space="preserve">omisję </w:t>
      </w:r>
      <w:r>
        <w:rPr>
          <w:rFonts w:ascii="Calibri" w:hAnsi="Calibri" w:cs="Calibri"/>
        </w:rPr>
        <w:t>N</w:t>
      </w:r>
      <w:r w:rsidR="00E57DE1">
        <w:rPr>
          <w:rFonts w:ascii="Calibri" w:hAnsi="Calibri" w:cs="Calibri"/>
        </w:rPr>
        <w:t xml:space="preserve">adzoru </w:t>
      </w:r>
      <w:r>
        <w:rPr>
          <w:rFonts w:ascii="Calibri" w:hAnsi="Calibri" w:cs="Calibri"/>
        </w:rPr>
        <w:t>F</w:t>
      </w:r>
      <w:r w:rsidR="00E57DE1">
        <w:rPr>
          <w:rFonts w:ascii="Calibri" w:hAnsi="Calibri" w:cs="Calibri"/>
        </w:rPr>
        <w:t>inansowego</w:t>
      </w:r>
      <w:r>
        <w:rPr>
          <w:rFonts w:ascii="Calibri" w:hAnsi="Calibri" w:cs="Calibri"/>
        </w:rPr>
        <w:t xml:space="preserve"> w dniu 8 grudnia 2015 r., dotyczący </w:t>
      </w:r>
      <w:r w:rsidR="00297A20">
        <w:rPr>
          <w:rFonts w:ascii="Calibri" w:hAnsi="Calibri"/>
        </w:rPr>
        <w:t>nowych</w:t>
      </w:r>
      <w:r w:rsidR="000D1889">
        <w:rPr>
          <w:rFonts w:ascii="Calibri" w:hAnsi="Calibri"/>
        </w:rPr>
        <w:t xml:space="preserve"> terminów</w:t>
      </w:r>
      <w:r w:rsidR="00E57DE1" w:rsidRPr="00E84103">
        <w:rPr>
          <w:rFonts w:ascii="Calibri" w:hAnsi="Calibri"/>
        </w:rPr>
        <w:t xml:space="preserve"> Publicznej Oferty Akcji</w:t>
      </w:r>
      <w:r>
        <w:rPr>
          <w:rFonts w:ascii="Calibri" w:hAnsi="Calibri" w:cs="Calibri"/>
        </w:rPr>
        <w:t xml:space="preserve">. </w:t>
      </w:r>
      <w:r w:rsidR="0028101E">
        <w:rPr>
          <w:rFonts w:ascii="Calibri" w:hAnsi="Calibri" w:cs="Calibri"/>
        </w:rPr>
        <w:t>Zgodnie z harmonogramem budowa księgi popytu będzie prowadzona w dniach 11-12 kwietnia br. W dniu 1</w:t>
      </w:r>
      <w:r w:rsidR="009C772B">
        <w:rPr>
          <w:rFonts w:ascii="Calibri" w:hAnsi="Calibri" w:cs="Calibri"/>
        </w:rPr>
        <w:t>3</w:t>
      </w:r>
      <w:r w:rsidR="0028101E">
        <w:rPr>
          <w:rFonts w:ascii="Calibri" w:hAnsi="Calibri" w:cs="Calibri"/>
        </w:rPr>
        <w:t xml:space="preserve"> kwietnia br. zostanie ustalona ostateczna cena emisyjna akcji oraz określony podział na transze. Przyjmowanie zapisów </w:t>
      </w:r>
      <w:r w:rsidR="00EB690F">
        <w:rPr>
          <w:rFonts w:ascii="Calibri" w:hAnsi="Calibri" w:cs="Calibri"/>
        </w:rPr>
        <w:t>w Transzy I</w:t>
      </w:r>
      <w:r w:rsidR="0028101E">
        <w:rPr>
          <w:rFonts w:ascii="Calibri" w:hAnsi="Calibri" w:cs="Calibri"/>
        </w:rPr>
        <w:t xml:space="preserve">nwestorów </w:t>
      </w:r>
      <w:r w:rsidR="00EB690F">
        <w:rPr>
          <w:rFonts w:ascii="Calibri" w:hAnsi="Calibri" w:cs="Calibri"/>
        </w:rPr>
        <w:t>I</w:t>
      </w:r>
      <w:r w:rsidR="0028101E">
        <w:rPr>
          <w:rFonts w:ascii="Calibri" w:hAnsi="Calibri" w:cs="Calibri"/>
        </w:rPr>
        <w:t>ndywidualnych będzie prowadzone w okresie 1</w:t>
      </w:r>
      <w:r w:rsidR="009C772B">
        <w:rPr>
          <w:rFonts w:ascii="Calibri" w:hAnsi="Calibri" w:cs="Calibri"/>
        </w:rPr>
        <w:t>4</w:t>
      </w:r>
      <w:r w:rsidR="0028101E">
        <w:rPr>
          <w:rFonts w:ascii="Calibri" w:hAnsi="Calibri" w:cs="Calibri"/>
        </w:rPr>
        <w:t>-19 kwietnia br.</w:t>
      </w:r>
      <w:r w:rsidR="00D63F4E">
        <w:rPr>
          <w:rFonts w:ascii="Calibri" w:hAnsi="Calibri" w:cs="Calibri"/>
        </w:rPr>
        <w:t xml:space="preserve">, a w </w:t>
      </w:r>
      <w:r w:rsidR="00EB690F">
        <w:rPr>
          <w:rFonts w:ascii="Calibri" w:hAnsi="Calibri" w:cs="Calibri"/>
        </w:rPr>
        <w:t>Transzy I</w:t>
      </w:r>
      <w:r w:rsidR="0028101E">
        <w:rPr>
          <w:rFonts w:ascii="Calibri" w:hAnsi="Calibri" w:cs="Calibri"/>
        </w:rPr>
        <w:t xml:space="preserve">nwestorów </w:t>
      </w:r>
      <w:r w:rsidR="00EB690F">
        <w:rPr>
          <w:rFonts w:ascii="Calibri" w:hAnsi="Calibri" w:cs="Calibri"/>
        </w:rPr>
        <w:t>I</w:t>
      </w:r>
      <w:r w:rsidR="0028101E">
        <w:rPr>
          <w:rFonts w:ascii="Calibri" w:hAnsi="Calibri" w:cs="Calibri"/>
        </w:rPr>
        <w:t xml:space="preserve">nstytucjonalnych </w:t>
      </w:r>
      <w:r w:rsidR="00D63F4E">
        <w:rPr>
          <w:rFonts w:ascii="Calibri" w:hAnsi="Calibri" w:cs="Calibri"/>
        </w:rPr>
        <w:t xml:space="preserve">o jeden dzień dłużej, tj. do </w:t>
      </w:r>
      <w:r w:rsidR="0028101E">
        <w:rPr>
          <w:rFonts w:ascii="Calibri" w:hAnsi="Calibri" w:cs="Calibri"/>
        </w:rPr>
        <w:t xml:space="preserve">20 kwietnia br. Przydział akcji i rozliczenie subskrypcji nastąpi </w:t>
      </w:r>
      <w:r w:rsidR="003E6C53">
        <w:rPr>
          <w:rFonts w:ascii="Calibri" w:hAnsi="Calibri" w:cs="Calibri"/>
        </w:rPr>
        <w:t xml:space="preserve">do </w:t>
      </w:r>
      <w:r w:rsidR="0028101E">
        <w:rPr>
          <w:rFonts w:ascii="Calibri" w:hAnsi="Calibri" w:cs="Calibri"/>
        </w:rPr>
        <w:t xml:space="preserve">22 kwietnia br. Debiut akcji na Giełdzie Papierów w Warszawie planowany jest w </w:t>
      </w:r>
      <w:r w:rsidR="000A0B2E">
        <w:rPr>
          <w:rFonts w:ascii="Calibri" w:hAnsi="Calibri" w:cs="Calibri"/>
        </w:rPr>
        <w:t xml:space="preserve">pierwszej </w:t>
      </w:r>
      <w:r w:rsidR="0028101E">
        <w:rPr>
          <w:rFonts w:ascii="Calibri" w:hAnsi="Calibri" w:cs="Calibri"/>
        </w:rPr>
        <w:t xml:space="preserve">połowie maja br. </w:t>
      </w:r>
    </w:p>
    <w:p w:rsidR="002871BD" w:rsidRDefault="00160D32" w:rsidP="001F79B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C1093">
        <w:rPr>
          <w:rFonts w:ascii="Calibri" w:hAnsi="Calibri"/>
          <w:i/>
        </w:rPr>
        <w:t>„</w:t>
      </w:r>
      <w:r w:rsidR="00C51000">
        <w:rPr>
          <w:rFonts w:ascii="Calibri" w:hAnsi="Calibri"/>
          <w:i/>
        </w:rPr>
        <w:t>Rozpoczynamy właśnie spotkania z</w:t>
      </w:r>
      <w:r w:rsidR="001070CE">
        <w:rPr>
          <w:rFonts w:ascii="Calibri" w:hAnsi="Calibri"/>
          <w:i/>
        </w:rPr>
        <w:t xml:space="preserve"> inwestorami instytucjonalnymi - </w:t>
      </w:r>
      <w:proofErr w:type="spellStart"/>
      <w:r w:rsidR="00C51000">
        <w:rPr>
          <w:rFonts w:ascii="Calibri" w:hAnsi="Calibri"/>
          <w:i/>
        </w:rPr>
        <w:t>road</w:t>
      </w:r>
      <w:proofErr w:type="spellEnd"/>
      <w:r w:rsidR="00C51000">
        <w:rPr>
          <w:rFonts w:ascii="Calibri" w:hAnsi="Calibri"/>
          <w:i/>
        </w:rPr>
        <w:t xml:space="preserve"> show</w:t>
      </w:r>
      <w:r w:rsidR="00CA448B">
        <w:rPr>
          <w:rFonts w:ascii="Calibri" w:hAnsi="Calibri"/>
          <w:i/>
        </w:rPr>
        <w:t>. Mamy nadzieję, że i</w:t>
      </w:r>
      <w:r w:rsidR="008E2D7E">
        <w:rPr>
          <w:rFonts w:ascii="Calibri" w:hAnsi="Calibri"/>
          <w:i/>
        </w:rPr>
        <w:t>nwestorzy d</w:t>
      </w:r>
      <w:r w:rsidR="00CA448B">
        <w:rPr>
          <w:rFonts w:ascii="Calibri" w:hAnsi="Calibri"/>
          <w:i/>
        </w:rPr>
        <w:t>ocenią</w:t>
      </w:r>
      <w:r w:rsidR="00363463">
        <w:rPr>
          <w:rFonts w:ascii="Calibri" w:hAnsi="Calibri"/>
          <w:i/>
        </w:rPr>
        <w:t xml:space="preserve"> nasz model biznesu i </w:t>
      </w:r>
      <w:r w:rsidR="008E2D7E">
        <w:rPr>
          <w:rFonts w:ascii="Calibri" w:hAnsi="Calibri"/>
          <w:i/>
        </w:rPr>
        <w:t xml:space="preserve">bardzo </w:t>
      </w:r>
      <w:r w:rsidR="00363463">
        <w:rPr>
          <w:rFonts w:ascii="Calibri" w:hAnsi="Calibri"/>
          <w:i/>
        </w:rPr>
        <w:t xml:space="preserve">dobre perspektywy branży, w której działamy. Dlatego jesteśmy przekonani, że </w:t>
      </w:r>
      <w:r w:rsidR="00EB690F">
        <w:rPr>
          <w:rFonts w:ascii="Calibri" w:hAnsi="Calibri"/>
          <w:i/>
        </w:rPr>
        <w:t>prowadzona</w:t>
      </w:r>
      <w:r w:rsidR="00363463">
        <w:rPr>
          <w:rFonts w:ascii="Calibri" w:hAnsi="Calibri"/>
          <w:i/>
        </w:rPr>
        <w:t xml:space="preserve"> oferta </w:t>
      </w:r>
      <w:r w:rsidR="001070CE">
        <w:rPr>
          <w:rFonts w:ascii="Calibri" w:hAnsi="Calibri"/>
          <w:i/>
        </w:rPr>
        <w:t xml:space="preserve">akcji </w:t>
      </w:r>
      <w:r w:rsidR="00363463">
        <w:rPr>
          <w:rFonts w:ascii="Calibri" w:hAnsi="Calibri"/>
          <w:i/>
        </w:rPr>
        <w:t>zakończy się sukcesem</w:t>
      </w:r>
      <w:r w:rsidR="003C1093" w:rsidRPr="003C1093">
        <w:rPr>
          <w:rFonts w:ascii="Calibri" w:hAnsi="Calibri"/>
          <w:i/>
        </w:rPr>
        <w:t>”</w:t>
      </w:r>
      <w:r w:rsidR="003C1093">
        <w:rPr>
          <w:rFonts w:ascii="Calibri" w:hAnsi="Calibri"/>
        </w:rPr>
        <w:t xml:space="preserve"> – powiedział Mirosław Koszany, Prezes Zarządu BIK S.A.</w:t>
      </w:r>
    </w:p>
    <w:p w:rsidR="008E2D7E" w:rsidRDefault="008E2D7E" w:rsidP="001F79BC">
      <w:pPr>
        <w:autoSpaceDE w:val="0"/>
        <w:autoSpaceDN w:val="0"/>
        <w:adjustRightInd w:val="0"/>
        <w:jc w:val="both"/>
      </w:pPr>
      <w:r>
        <w:t xml:space="preserve">Na podstawie Prospektu Emisyjnego oferowanych jest 1.130.000 nowych akcji serii I oraz sprzedawanych jest do 569.606 istniejących akcji serii H. Oferowane inwestorom akcje </w:t>
      </w:r>
      <w:r w:rsidR="00A61B53">
        <w:t xml:space="preserve">serii I </w:t>
      </w:r>
      <w:r>
        <w:t xml:space="preserve">stanowić będą łącznie 27,4% podwyższonego kapitału zakładowego Spółki i będą uprawniać ich właścicieli do wykonywania łącznie 16,6% ogólnej liczby głosów na Walnym Zgromadzeniu. Aktualnie 100% akcji Biura Inwestycji Kapitałowych S.A. jest własnością </w:t>
      </w:r>
      <w:proofErr w:type="spellStart"/>
      <w:r>
        <w:t>Belancor</w:t>
      </w:r>
      <w:proofErr w:type="spellEnd"/>
      <w:r>
        <w:t xml:space="preserve"> Sp. z o.o. z siedzibą w Krakowie. Udziałowcami </w:t>
      </w:r>
      <w:proofErr w:type="spellStart"/>
      <w:r>
        <w:t>Belancor</w:t>
      </w:r>
      <w:proofErr w:type="spellEnd"/>
      <w:r>
        <w:t xml:space="preserve"> Sp. z o.o. są osoby fizyczne.</w:t>
      </w:r>
      <w:r w:rsidR="00381647">
        <w:t xml:space="preserve"> Zapisy na akcje będzie można składać za pośrednictwem Oferującego - Domu Maklerskiego BDM S.A.</w:t>
      </w:r>
    </w:p>
    <w:p w:rsidR="008E2D7E" w:rsidRDefault="008E2D7E" w:rsidP="001F79BC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t>Biuro Inwestycji Kapitałowych S.A. oczekuje wpływów z emisji akcji serii I na poziomie około 23,7 mln zł brutto. Wpływy netto zostały oszacowane na poziomie ok. 22,5 mln zł. „</w:t>
      </w:r>
      <w:r>
        <w:rPr>
          <w:rStyle w:val="Uwydatnienie"/>
        </w:rPr>
        <w:t xml:space="preserve">Pozyskane środki w całości wykorzystamy na finansowanie realizacji przygotowywanych projektów deweloperskich dotyczących głównie powierzchni magazynowych, ale także </w:t>
      </w:r>
      <w:r w:rsidR="00773AC3">
        <w:rPr>
          <w:rStyle w:val="Uwydatnienie"/>
        </w:rPr>
        <w:t xml:space="preserve">parków </w:t>
      </w:r>
      <w:bookmarkStart w:id="0" w:name="_GoBack"/>
      <w:bookmarkEnd w:id="0"/>
      <w:r>
        <w:rPr>
          <w:rStyle w:val="Uwydatnienie"/>
        </w:rPr>
        <w:t>handlowych”</w:t>
      </w:r>
      <w:r>
        <w:t xml:space="preserve"> – powiedział Mirosław Koszany. Celem jest rozbudow</w:t>
      </w:r>
      <w:r w:rsidR="00F32E66">
        <w:t>a</w:t>
      </w:r>
      <w:r>
        <w:t xml:space="preserve"> Centrum Logistycznego w Sosnowcu, budow</w:t>
      </w:r>
      <w:r w:rsidR="00F32E66">
        <w:t>a</w:t>
      </w:r>
      <w:r>
        <w:t xml:space="preserve"> Centrum Logistycznego Kraków </w:t>
      </w:r>
      <w:r w:rsidRPr="00A90ED0">
        <w:t>III</w:t>
      </w:r>
      <w:r>
        <w:t xml:space="preserve"> oraz budowa Parku Handlowego w Dzierżoniowie.</w:t>
      </w:r>
    </w:p>
    <w:p w:rsidR="00745D11" w:rsidRPr="006C3ED9" w:rsidRDefault="00745D11" w:rsidP="00F6664E">
      <w:pPr>
        <w:autoSpaceDE w:val="0"/>
        <w:autoSpaceDN w:val="0"/>
        <w:adjustRightInd w:val="0"/>
        <w:jc w:val="both"/>
      </w:pPr>
      <w:r w:rsidRPr="006C3ED9">
        <w:t>Grupa zarządza aktualnie trzema parkami logistycznymi: Centrum Logistycznym Kraków I, Centrum Logistycznym Kraków II oraz Śląskim Centrum Logistycznym w Sosnowcu o łącznej powierzchni najmu wynoszącej 55,8 tys. m</w:t>
      </w:r>
      <w:r w:rsidRPr="00600428">
        <w:rPr>
          <w:vertAlign w:val="superscript"/>
        </w:rPr>
        <w:t>2</w:t>
      </w:r>
      <w:r w:rsidRPr="006C3ED9">
        <w:t xml:space="preserve">. W ramach dywersyfikacji działalności zajmuje się także budową i wynajmem </w:t>
      </w:r>
      <w:r w:rsidRPr="006C3ED9">
        <w:lastRenderedPageBreak/>
        <w:t xml:space="preserve">nowoczesnych powierzchni handlowych w segmencie parków handlowych (retail parków). Dotychczas zrealizowane zostały dwa </w:t>
      </w:r>
      <w:proofErr w:type="spellStart"/>
      <w:r w:rsidRPr="006C3ED9">
        <w:t>retail</w:t>
      </w:r>
      <w:proofErr w:type="spellEnd"/>
      <w:r w:rsidRPr="006C3ED9">
        <w:t xml:space="preserve"> parki: w Puławach</w:t>
      </w:r>
      <w:r w:rsidR="000A0B2E">
        <w:t xml:space="preserve"> i</w:t>
      </w:r>
      <w:r w:rsidRPr="006C3ED9">
        <w:t xml:space="preserve"> Bielsku-Białej.</w:t>
      </w:r>
    </w:p>
    <w:p w:rsidR="0034020D" w:rsidRDefault="009B3B3C" w:rsidP="00F6664E">
      <w:pPr>
        <w:spacing w:line="240" w:lineRule="auto"/>
        <w:jc w:val="center"/>
        <w:rPr>
          <w:i/>
          <w:iCs/>
          <w:sz w:val="18"/>
          <w:szCs w:val="18"/>
        </w:rPr>
      </w:pPr>
      <w:r>
        <w:rPr>
          <w:sz w:val="24"/>
          <w:szCs w:val="24"/>
        </w:rPr>
        <w:t>***</w:t>
      </w:r>
      <w:r w:rsidR="00FD7E56">
        <w:rPr>
          <w:sz w:val="16"/>
          <w:szCs w:val="16"/>
        </w:rPr>
        <w:t xml:space="preserve"> </w:t>
      </w:r>
    </w:p>
    <w:p w:rsidR="003F67D0" w:rsidRPr="003F67D0" w:rsidRDefault="003F67D0" w:rsidP="003F67D0">
      <w:pPr>
        <w:jc w:val="both"/>
        <w:rPr>
          <w:i/>
          <w:iCs/>
          <w:sz w:val="16"/>
          <w:szCs w:val="16"/>
        </w:rPr>
      </w:pPr>
      <w:r w:rsidRPr="003F67D0">
        <w:rPr>
          <w:i/>
          <w:iCs/>
          <w:sz w:val="16"/>
          <w:szCs w:val="16"/>
        </w:rPr>
        <w:t xml:space="preserve">Niniejsza informacja jest materiałem reklamowym i promocyjnym w rozumieniu art. 53 ustawy z dnia 29 lipca 2005 r. o ofercie publicznej i warunkach wprowadzania instrumentów finansowych do zorganizowanego systemu obrotu oraz o spółkach publicznych (tekst jednolity Dz.U. z 2013 roku poz. 1382). </w:t>
      </w:r>
      <w:r w:rsidRPr="003F67D0">
        <w:rPr>
          <w:i/>
          <w:sz w:val="16"/>
          <w:szCs w:val="16"/>
        </w:rPr>
        <w:t xml:space="preserve">Niniejszy materiał w żadnym przypadku nie stanowi oferty ani zaproszenia, jak również podstaw podjęcia decyzji w przedmiocie inwestowania w papiery wartościowe </w:t>
      </w:r>
      <w:r w:rsidRPr="003F67D0">
        <w:rPr>
          <w:i/>
          <w:iCs/>
          <w:sz w:val="16"/>
          <w:szCs w:val="16"/>
        </w:rPr>
        <w:t>Biura Inwestycji Kapitałowych S.A.</w:t>
      </w:r>
    </w:p>
    <w:p w:rsidR="003F67D0" w:rsidRPr="003F67D0" w:rsidRDefault="003F67D0" w:rsidP="003F67D0">
      <w:pPr>
        <w:jc w:val="both"/>
        <w:rPr>
          <w:b/>
          <w:i/>
          <w:sz w:val="16"/>
          <w:szCs w:val="16"/>
        </w:rPr>
      </w:pPr>
      <w:r w:rsidRPr="003F67D0">
        <w:rPr>
          <w:i/>
          <w:sz w:val="16"/>
          <w:szCs w:val="16"/>
        </w:rPr>
        <w:t xml:space="preserve">Prospekt </w:t>
      </w:r>
      <w:r w:rsidR="00FD7E56">
        <w:rPr>
          <w:i/>
          <w:sz w:val="16"/>
          <w:szCs w:val="16"/>
        </w:rPr>
        <w:t>E</w:t>
      </w:r>
      <w:r w:rsidRPr="003F67D0">
        <w:rPr>
          <w:i/>
          <w:sz w:val="16"/>
          <w:szCs w:val="16"/>
        </w:rPr>
        <w:t xml:space="preserve">misyjny, sporządzony w związku z ofertą publiczną akcji </w:t>
      </w:r>
      <w:r w:rsidR="00446E0B" w:rsidRPr="00446E0B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446E0B" w:rsidRPr="00446E0B">
        <w:rPr>
          <w:i/>
          <w:sz w:val="16"/>
          <w:szCs w:val="16"/>
        </w:rPr>
        <w:t xml:space="preserve"> Inwestycji Kapitałowych</w:t>
      </w:r>
      <w:r w:rsidRPr="00FD7E56">
        <w:rPr>
          <w:i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>i ubieganiem się o</w:t>
      </w:r>
      <w:r w:rsidR="00FD7E56"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 xml:space="preserve">dopuszczenie oraz wprowadzenie papierów wartościowych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iCs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 xml:space="preserve">do obrotu na Giełdzie Papierów Wartościowych w Warszawie S.A., który w dniu </w:t>
      </w:r>
      <w:r w:rsidR="002A50A5">
        <w:rPr>
          <w:i/>
          <w:sz w:val="16"/>
          <w:szCs w:val="16"/>
        </w:rPr>
        <w:t xml:space="preserve">08.12.2015 </w:t>
      </w:r>
      <w:r w:rsidRPr="003F67D0">
        <w:rPr>
          <w:i/>
          <w:sz w:val="16"/>
          <w:szCs w:val="16"/>
        </w:rPr>
        <w:t xml:space="preserve">r. został zatwierdzony przez Komisję Nadzoru Finansowego, jest jedynym prawnie wiążącym dokumentem zawierającym informacje o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ze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i </w:t>
      </w:r>
      <w:r w:rsidR="00FD7E56">
        <w:rPr>
          <w:i/>
          <w:sz w:val="16"/>
          <w:szCs w:val="16"/>
        </w:rPr>
        <w:t>o</w:t>
      </w:r>
      <w:r w:rsidRPr="003F67D0">
        <w:rPr>
          <w:i/>
          <w:sz w:val="16"/>
          <w:szCs w:val="16"/>
        </w:rPr>
        <w:t xml:space="preserve">fercie </w:t>
      </w:r>
      <w:r w:rsidR="00FD7E56">
        <w:rPr>
          <w:i/>
          <w:sz w:val="16"/>
          <w:szCs w:val="16"/>
        </w:rPr>
        <w:t>p</w:t>
      </w:r>
      <w:r w:rsidRPr="003F67D0">
        <w:rPr>
          <w:i/>
          <w:sz w:val="16"/>
          <w:szCs w:val="16"/>
        </w:rPr>
        <w:t xml:space="preserve">ublicznej. Prospekt </w:t>
      </w:r>
      <w:r w:rsidR="00FD7E56">
        <w:rPr>
          <w:i/>
          <w:sz w:val="16"/>
          <w:szCs w:val="16"/>
        </w:rPr>
        <w:t xml:space="preserve">Emisyjny </w:t>
      </w:r>
      <w:r w:rsidRPr="003F67D0">
        <w:rPr>
          <w:i/>
          <w:sz w:val="16"/>
          <w:szCs w:val="16"/>
        </w:rPr>
        <w:t xml:space="preserve">udostępniono na stronie internetowej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</w:t>
      </w:r>
      <w:hyperlink r:id="rId7" w:history="1">
        <w:r w:rsidRPr="003F67D0">
          <w:rPr>
            <w:rStyle w:val="Hipercze"/>
            <w:i/>
            <w:sz w:val="16"/>
            <w:szCs w:val="16"/>
          </w:rPr>
          <w:t>www.bik.com.pl</w:t>
        </w:r>
      </w:hyperlink>
      <w:r w:rsidRPr="003F67D0">
        <w:rPr>
          <w:i/>
          <w:iCs/>
          <w:sz w:val="16"/>
          <w:szCs w:val="16"/>
        </w:rPr>
        <w:t xml:space="preserve"> i na stronie internetowej Domu Maklerskiego BDM S.A. pod adresem </w:t>
      </w:r>
      <w:hyperlink r:id="rId8" w:history="1">
        <w:r w:rsidR="00F36663" w:rsidRPr="00FA138F">
          <w:rPr>
            <w:rStyle w:val="Hipercze"/>
            <w:i/>
            <w:iCs/>
            <w:sz w:val="16"/>
            <w:szCs w:val="16"/>
          </w:rPr>
          <w:t>www.bdm.pl</w:t>
        </w:r>
      </w:hyperlink>
      <w:r w:rsidRPr="003F67D0">
        <w:rPr>
          <w:i/>
          <w:sz w:val="16"/>
          <w:szCs w:val="16"/>
        </w:rPr>
        <w:t>, na</w:t>
      </w:r>
      <w:r w:rsidR="005D6A47"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>których to stronach znajdą się ewentualne aneksy i komunikaty aktualizujące do Prospektu</w:t>
      </w:r>
      <w:r w:rsidR="00FD7E56">
        <w:rPr>
          <w:i/>
          <w:sz w:val="16"/>
          <w:szCs w:val="16"/>
        </w:rPr>
        <w:t xml:space="preserve"> Emisyjnego</w:t>
      </w:r>
      <w:r w:rsidRPr="003F67D0">
        <w:rPr>
          <w:i/>
          <w:sz w:val="16"/>
          <w:szCs w:val="16"/>
        </w:rPr>
        <w:t xml:space="preserve">. Niniejszy materiał nie stanowi rekomendacji w rozumieniu </w:t>
      </w:r>
      <w:r w:rsidR="00FD7E56">
        <w:rPr>
          <w:i/>
          <w:sz w:val="16"/>
          <w:szCs w:val="16"/>
        </w:rPr>
        <w:t>r</w:t>
      </w:r>
      <w:r w:rsidRPr="003F67D0">
        <w:rPr>
          <w:i/>
          <w:sz w:val="16"/>
          <w:szCs w:val="16"/>
        </w:rPr>
        <w:t>ozporządzenia Ministra Finansów z dnia 19 października 2005</w:t>
      </w:r>
      <w:r w:rsidR="00FD7E56">
        <w:rPr>
          <w:i/>
          <w:sz w:val="16"/>
          <w:szCs w:val="16"/>
        </w:rPr>
        <w:t xml:space="preserve"> </w:t>
      </w:r>
      <w:r w:rsidRPr="003F67D0">
        <w:rPr>
          <w:i/>
          <w:sz w:val="16"/>
          <w:szCs w:val="16"/>
        </w:rPr>
        <w:t>r</w:t>
      </w:r>
      <w:r w:rsidR="00FD7E56">
        <w:rPr>
          <w:i/>
          <w:sz w:val="16"/>
          <w:szCs w:val="16"/>
        </w:rPr>
        <w:t>oku</w:t>
      </w:r>
      <w:r w:rsidRPr="003F67D0">
        <w:rPr>
          <w:i/>
          <w:sz w:val="16"/>
          <w:szCs w:val="16"/>
        </w:rPr>
        <w:t xml:space="preserve"> w sprawie informacji stanowiących rekomendacje dotyczącą instrumentów finansowych, ich emitentów lub wystawców. </w:t>
      </w:r>
      <w:r w:rsidR="00446E0B" w:rsidRPr="005F2271">
        <w:rPr>
          <w:i/>
          <w:sz w:val="16"/>
          <w:szCs w:val="16"/>
        </w:rPr>
        <w:t>Niniejszy materiał nie może być rozpowszechniany w Stanach Zjednoczonych Ameryki, Australii, Kanadzie i Japonii ani jakiejkolwiek innej jurysdykcji, w której stanowiłoby to naruszenie właściwych przepisów prawa lub wymagałoby rejestracji.</w:t>
      </w:r>
    </w:p>
    <w:p w:rsidR="003C1093" w:rsidRDefault="003C1093" w:rsidP="00C50730">
      <w:pPr>
        <w:rPr>
          <w:b/>
          <w:sz w:val="18"/>
          <w:szCs w:val="18"/>
        </w:rPr>
      </w:pPr>
    </w:p>
    <w:p w:rsidR="00F6664E" w:rsidRDefault="00F6664E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 xml:space="preserve">Agencja Tauber </w:t>
      </w:r>
      <w:proofErr w:type="spellStart"/>
      <w:r>
        <w:rPr>
          <w:sz w:val="18"/>
          <w:szCs w:val="18"/>
        </w:rPr>
        <w:t>Promotion</w:t>
      </w:r>
      <w:proofErr w:type="spellEnd"/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9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CA448B" w:rsidRDefault="00C50730" w:rsidP="00C50730">
      <w:pPr>
        <w:pStyle w:val="Stopka"/>
        <w:rPr>
          <w:sz w:val="18"/>
          <w:szCs w:val="18"/>
          <w:lang w:val="de-DE"/>
        </w:rPr>
      </w:pPr>
      <w:r w:rsidRPr="00CA448B">
        <w:rPr>
          <w:sz w:val="18"/>
          <w:szCs w:val="18"/>
          <w:lang w:val="de-DE"/>
        </w:rPr>
        <w:t>Tel.: +22 833 35 02; 698 612 866</w:t>
      </w:r>
    </w:p>
    <w:p w:rsidR="00C50730" w:rsidRPr="00CA448B" w:rsidRDefault="00C50730" w:rsidP="00C50730">
      <w:pPr>
        <w:pStyle w:val="Stopka"/>
        <w:rPr>
          <w:sz w:val="18"/>
          <w:szCs w:val="18"/>
          <w:lang w:val="de-DE"/>
        </w:rPr>
      </w:pPr>
      <w:r w:rsidRPr="00CA448B">
        <w:rPr>
          <w:sz w:val="18"/>
          <w:szCs w:val="18"/>
          <w:lang w:val="de-DE"/>
        </w:rPr>
        <w:t xml:space="preserve"> </w:t>
      </w:r>
    </w:p>
    <w:p w:rsidR="00C50730" w:rsidRPr="00CA448B" w:rsidRDefault="00C50730" w:rsidP="00C50730">
      <w:pPr>
        <w:pStyle w:val="Stopka"/>
        <w:rPr>
          <w:sz w:val="18"/>
          <w:szCs w:val="18"/>
          <w:lang w:val="de-DE"/>
        </w:rPr>
      </w:pPr>
      <w:r w:rsidRPr="00CA448B">
        <w:rPr>
          <w:sz w:val="18"/>
          <w:szCs w:val="18"/>
          <w:lang w:val="de-DE"/>
        </w:rPr>
        <w:t xml:space="preserve">Andrzej Kazimierczak, </w:t>
      </w:r>
    </w:p>
    <w:p w:rsidR="00C50730" w:rsidRPr="00CA448B" w:rsidRDefault="00C50730" w:rsidP="00C50730">
      <w:pPr>
        <w:pStyle w:val="Stopka"/>
        <w:rPr>
          <w:sz w:val="18"/>
          <w:szCs w:val="18"/>
          <w:lang w:val="de-DE"/>
        </w:rPr>
      </w:pPr>
      <w:r w:rsidRPr="00CA448B">
        <w:rPr>
          <w:sz w:val="18"/>
          <w:szCs w:val="18"/>
          <w:lang w:val="de-DE"/>
        </w:rPr>
        <w:t>e-</w:t>
      </w:r>
      <w:proofErr w:type="spellStart"/>
      <w:r w:rsidRPr="00CA448B">
        <w:rPr>
          <w:sz w:val="18"/>
          <w:szCs w:val="18"/>
          <w:lang w:val="de-DE"/>
        </w:rPr>
        <w:t>mail</w:t>
      </w:r>
      <w:proofErr w:type="spellEnd"/>
      <w:r w:rsidRPr="00CA448B">
        <w:rPr>
          <w:sz w:val="18"/>
          <w:szCs w:val="18"/>
          <w:lang w:val="de-DE"/>
        </w:rPr>
        <w:t xml:space="preserve">: </w:t>
      </w:r>
      <w:hyperlink r:id="rId10" w:history="1">
        <w:r w:rsidRPr="00CA448B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CA448B">
        <w:rPr>
          <w:sz w:val="18"/>
          <w:szCs w:val="18"/>
          <w:lang w:val="de-DE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F36663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9A" w:rsidRDefault="00C77D9A" w:rsidP="00FE39FB">
      <w:pPr>
        <w:spacing w:after="0" w:line="240" w:lineRule="auto"/>
      </w:pPr>
      <w:r>
        <w:separator/>
      </w:r>
    </w:p>
  </w:endnote>
  <w:endnote w:type="continuationSeparator" w:id="0">
    <w:p w:rsidR="00C77D9A" w:rsidRDefault="00C77D9A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50" w:rsidRDefault="00A10F50">
    <w:pPr>
      <w:pStyle w:val="Stopka"/>
    </w:pPr>
    <w:r w:rsidRPr="0061617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213688</wp:posOffset>
          </wp:positionV>
          <wp:extent cx="5760654" cy="425604"/>
          <wp:effectExtent l="0" t="0" r="9525" b="9525"/>
          <wp:wrapNone/>
          <wp:docPr id="4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9A" w:rsidRDefault="00C77D9A" w:rsidP="00FE39FB">
      <w:pPr>
        <w:spacing w:after="0" w:line="240" w:lineRule="auto"/>
      </w:pPr>
      <w:r>
        <w:separator/>
      </w:r>
    </w:p>
  </w:footnote>
  <w:footnote w:type="continuationSeparator" w:id="0">
    <w:p w:rsidR="00C77D9A" w:rsidRDefault="00C77D9A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50" w:rsidRPr="00FE39FB" w:rsidRDefault="00A10F50" w:rsidP="00FE39FB">
    <w:pPr>
      <w:pStyle w:val="Nagwek"/>
    </w:pPr>
    <w:r w:rsidRPr="0061617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873" cy="116664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1C75"/>
    <w:multiLevelType w:val="hybridMultilevel"/>
    <w:tmpl w:val="1F2C2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5F96"/>
    <w:multiLevelType w:val="hybridMultilevel"/>
    <w:tmpl w:val="85D6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62F"/>
    <w:multiLevelType w:val="hybridMultilevel"/>
    <w:tmpl w:val="4E18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1D9B"/>
    <w:multiLevelType w:val="hybridMultilevel"/>
    <w:tmpl w:val="1C62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F6D1E"/>
    <w:multiLevelType w:val="hybridMultilevel"/>
    <w:tmpl w:val="B93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Nowak">
    <w15:presenceInfo w15:providerId="Windows Live" w15:userId="60b5c72d21925642"/>
  </w15:person>
  <w15:person w15:author="Mirosław Koszany">
    <w15:presenceInfo w15:providerId="AD" w15:userId="S-1-5-21-2643327964-2222666493-1595631151-1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1477E"/>
    <w:rsid w:val="00016802"/>
    <w:rsid w:val="00026C86"/>
    <w:rsid w:val="00027E9E"/>
    <w:rsid w:val="00030767"/>
    <w:rsid w:val="00034F07"/>
    <w:rsid w:val="00036B1D"/>
    <w:rsid w:val="00037150"/>
    <w:rsid w:val="000437DF"/>
    <w:rsid w:val="00044FF6"/>
    <w:rsid w:val="0004678E"/>
    <w:rsid w:val="000467C1"/>
    <w:rsid w:val="0004769D"/>
    <w:rsid w:val="0007140A"/>
    <w:rsid w:val="00075935"/>
    <w:rsid w:val="0008225A"/>
    <w:rsid w:val="00090F0F"/>
    <w:rsid w:val="0009164C"/>
    <w:rsid w:val="000A0B2E"/>
    <w:rsid w:val="000A17D8"/>
    <w:rsid w:val="000B1DE8"/>
    <w:rsid w:val="000B6178"/>
    <w:rsid w:val="000C00D1"/>
    <w:rsid w:val="000C34AA"/>
    <w:rsid w:val="000C4531"/>
    <w:rsid w:val="000C6879"/>
    <w:rsid w:val="000C7A2C"/>
    <w:rsid w:val="000D1889"/>
    <w:rsid w:val="000F136F"/>
    <w:rsid w:val="000F648D"/>
    <w:rsid w:val="001070CE"/>
    <w:rsid w:val="001102F4"/>
    <w:rsid w:val="00126981"/>
    <w:rsid w:val="00134F72"/>
    <w:rsid w:val="00140350"/>
    <w:rsid w:val="00140EFF"/>
    <w:rsid w:val="001415A2"/>
    <w:rsid w:val="00145338"/>
    <w:rsid w:val="001460ED"/>
    <w:rsid w:val="00150980"/>
    <w:rsid w:val="00151372"/>
    <w:rsid w:val="00153859"/>
    <w:rsid w:val="00160D32"/>
    <w:rsid w:val="00163F51"/>
    <w:rsid w:val="001648BF"/>
    <w:rsid w:val="00190298"/>
    <w:rsid w:val="00192F57"/>
    <w:rsid w:val="001A2E6C"/>
    <w:rsid w:val="001E383D"/>
    <w:rsid w:val="001E3F0B"/>
    <w:rsid w:val="001F1AC4"/>
    <w:rsid w:val="001F558D"/>
    <w:rsid w:val="001F79BC"/>
    <w:rsid w:val="00214199"/>
    <w:rsid w:val="00214316"/>
    <w:rsid w:val="00227A2E"/>
    <w:rsid w:val="00233EE1"/>
    <w:rsid w:val="002343E8"/>
    <w:rsid w:val="00235B25"/>
    <w:rsid w:val="00236A5E"/>
    <w:rsid w:val="002453B7"/>
    <w:rsid w:val="00245CFF"/>
    <w:rsid w:val="00247107"/>
    <w:rsid w:val="002536AE"/>
    <w:rsid w:val="00255D5A"/>
    <w:rsid w:val="00256D5B"/>
    <w:rsid w:val="00266656"/>
    <w:rsid w:val="00273278"/>
    <w:rsid w:val="00273720"/>
    <w:rsid w:val="002774A3"/>
    <w:rsid w:val="0028101E"/>
    <w:rsid w:val="00283EBE"/>
    <w:rsid w:val="002871BD"/>
    <w:rsid w:val="00287CA0"/>
    <w:rsid w:val="00297A20"/>
    <w:rsid w:val="002A073A"/>
    <w:rsid w:val="002A50A5"/>
    <w:rsid w:val="002B09F5"/>
    <w:rsid w:val="002B0FB5"/>
    <w:rsid w:val="002B3CDF"/>
    <w:rsid w:val="002B6FAE"/>
    <w:rsid w:val="002C42FA"/>
    <w:rsid w:val="002D3A16"/>
    <w:rsid w:val="002E3392"/>
    <w:rsid w:val="002F04F1"/>
    <w:rsid w:val="003029CF"/>
    <w:rsid w:val="00302D4F"/>
    <w:rsid w:val="0032614F"/>
    <w:rsid w:val="00331863"/>
    <w:rsid w:val="00332FCD"/>
    <w:rsid w:val="0033493A"/>
    <w:rsid w:val="0034020D"/>
    <w:rsid w:val="00341106"/>
    <w:rsid w:val="00345336"/>
    <w:rsid w:val="0035209F"/>
    <w:rsid w:val="0035721F"/>
    <w:rsid w:val="00363463"/>
    <w:rsid w:val="00370DAB"/>
    <w:rsid w:val="00375393"/>
    <w:rsid w:val="0038011C"/>
    <w:rsid w:val="00381647"/>
    <w:rsid w:val="00385667"/>
    <w:rsid w:val="0039282D"/>
    <w:rsid w:val="003C1093"/>
    <w:rsid w:val="003C10BB"/>
    <w:rsid w:val="003C1E51"/>
    <w:rsid w:val="003C22F2"/>
    <w:rsid w:val="003C39EB"/>
    <w:rsid w:val="003C60AB"/>
    <w:rsid w:val="003D3D04"/>
    <w:rsid w:val="003D41C8"/>
    <w:rsid w:val="003D4D0A"/>
    <w:rsid w:val="003D6A70"/>
    <w:rsid w:val="003D7338"/>
    <w:rsid w:val="003E2055"/>
    <w:rsid w:val="003E33EC"/>
    <w:rsid w:val="003E6C53"/>
    <w:rsid w:val="003F67D0"/>
    <w:rsid w:val="003F7023"/>
    <w:rsid w:val="00400707"/>
    <w:rsid w:val="004106C8"/>
    <w:rsid w:val="004116FD"/>
    <w:rsid w:val="00414985"/>
    <w:rsid w:val="00416D65"/>
    <w:rsid w:val="004210F7"/>
    <w:rsid w:val="00424A12"/>
    <w:rsid w:val="004276DC"/>
    <w:rsid w:val="00446E0B"/>
    <w:rsid w:val="00450D3E"/>
    <w:rsid w:val="00452493"/>
    <w:rsid w:val="0046024F"/>
    <w:rsid w:val="00473003"/>
    <w:rsid w:val="0047542A"/>
    <w:rsid w:val="00481602"/>
    <w:rsid w:val="00482F1B"/>
    <w:rsid w:val="00485125"/>
    <w:rsid w:val="004A0D0F"/>
    <w:rsid w:val="004B37E9"/>
    <w:rsid w:val="004B51C0"/>
    <w:rsid w:val="004C02A8"/>
    <w:rsid w:val="004C7DA9"/>
    <w:rsid w:val="004E0E4D"/>
    <w:rsid w:val="004E1824"/>
    <w:rsid w:val="004E40B9"/>
    <w:rsid w:val="004E79C5"/>
    <w:rsid w:val="005018A6"/>
    <w:rsid w:val="00503AAE"/>
    <w:rsid w:val="0051052E"/>
    <w:rsid w:val="0051723E"/>
    <w:rsid w:val="005266AC"/>
    <w:rsid w:val="005356AE"/>
    <w:rsid w:val="005418DC"/>
    <w:rsid w:val="00542280"/>
    <w:rsid w:val="0054724E"/>
    <w:rsid w:val="00557088"/>
    <w:rsid w:val="005670FF"/>
    <w:rsid w:val="005702EF"/>
    <w:rsid w:val="00571BA1"/>
    <w:rsid w:val="00582CC2"/>
    <w:rsid w:val="00590AD2"/>
    <w:rsid w:val="00596EB7"/>
    <w:rsid w:val="005A360B"/>
    <w:rsid w:val="005A4997"/>
    <w:rsid w:val="005D007E"/>
    <w:rsid w:val="005D381E"/>
    <w:rsid w:val="005D6A47"/>
    <w:rsid w:val="005D6DE1"/>
    <w:rsid w:val="005D70D8"/>
    <w:rsid w:val="005F0FA7"/>
    <w:rsid w:val="005F2271"/>
    <w:rsid w:val="00600428"/>
    <w:rsid w:val="00606398"/>
    <w:rsid w:val="0061029F"/>
    <w:rsid w:val="00613DA4"/>
    <w:rsid w:val="0061617C"/>
    <w:rsid w:val="0062362B"/>
    <w:rsid w:val="00625B84"/>
    <w:rsid w:val="0063144C"/>
    <w:rsid w:val="00634D35"/>
    <w:rsid w:val="00644BAE"/>
    <w:rsid w:val="006453D6"/>
    <w:rsid w:val="00657A25"/>
    <w:rsid w:val="00661AD1"/>
    <w:rsid w:val="00670B04"/>
    <w:rsid w:val="00671AEA"/>
    <w:rsid w:val="00671D5C"/>
    <w:rsid w:val="00674F37"/>
    <w:rsid w:val="00677A0F"/>
    <w:rsid w:val="0068112C"/>
    <w:rsid w:val="00690369"/>
    <w:rsid w:val="006913EE"/>
    <w:rsid w:val="00692672"/>
    <w:rsid w:val="00694A33"/>
    <w:rsid w:val="006976A7"/>
    <w:rsid w:val="006A0C2F"/>
    <w:rsid w:val="006A1D8B"/>
    <w:rsid w:val="006B7C01"/>
    <w:rsid w:val="006C3ED9"/>
    <w:rsid w:val="006C6432"/>
    <w:rsid w:val="006D547D"/>
    <w:rsid w:val="006D7175"/>
    <w:rsid w:val="006D726A"/>
    <w:rsid w:val="006E0B8E"/>
    <w:rsid w:val="006F09F4"/>
    <w:rsid w:val="006F37A1"/>
    <w:rsid w:val="006F5145"/>
    <w:rsid w:val="00710914"/>
    <w:rsid w:val="00710B7A"/>
    <w:rsid w:val="00736DA0"/>
    <w:rsid w:val="00745D11"/>
    <w:rsid w:val="00761F87"/>
    <w:rsid w:val="00766993"/>
    <w:rsid w:val="00773AC3"/>
    <w:rsid w:val="00796A9C"/>
    <w:rsid w:val="007A1BC6"/>
    <w:rsid w:val="007A67B4"/>
    <w:rsid w:val="007D083E"/>
    <w:rsid w:val="007D2887"/>
    <w:rsid w:val="007E219D"/>
    <w:rsid w:val="007E4A0B"/>
    <w:rsid w:val="007E7FDE"/>
    <w:rsid w:val="007F4B83"/>
    <w:rsid w:val="007F7C43"/>
    <w:rsid w:val="0080672A"/>
    <w:rsid w:val="00816AEC"/>
    <w:rsid w:val="00820075"/>
    <w:rsid w:val="00821E8F"/>
    <w:rsid w:val="00824238"/>
    <w:rsid w:val="0082667D"/>
    <w:rsid w:val="00830D2A"/>
    <w:rsid w:val="0084100A"/>
    <w:rsid w:val="00842DE4"/>
    <w:rsid w:val="008470E6"/>
    <w:rsid w:val="00847100"/>
    <w:rsid w:val="00850081"/>
    <w:rsid w:val="00860D5B"/>
    <w:rsid w:val="00862497"/>
    <w:rsid w:val="008647EA"/>
    <w:rsid w:val="00865C0D"/>
    <w:rsid w:val="008717CA"/>
    <w:rsid w:val="00871F6A"/>
    <w:rsid w:val="008806E1"/>
    <w:rsid w:val="008939BD"/>
    <w:rsid w:val="008A4A2C"/>
    <w:rsid w:val="008B2102"/>
    <w:rsid w:val="008C5D77"/>
    <w:rsid w:val="008C7760"/>
    <w:rsid w:val="008D30C8"/>
    <w:rsid w:val="008D3989"/>
    <w:rsid w:val="008E05BA"/>
    <w:rsid w:val="008E2D7E"/>
    <w:rsid w:val="008F5963"/>
    <w:rsid w:val="00904453"/>
    <w:rsid w:val="00910C8A"/>
    <w:rsid w:val="009136A6"/>
    <w:rsid w:val="00913EDC"/>
    <w:rsid w:val="00933963"/>
    <w:rsid w:val="0093399C"/>
    <w:rsid w:val="00937A72"/>
    <w:rsid w:val="0094677A"/>
    <w:rsid w:val="00957FEB"/>
    <w:rsid w:val="00973B56"/>
    <w:rsid w:val="00974051"/>
    <w:rsid w:val="009B0150"/>
    <w:rsid w:val="009B3B3C"/>
    <w:rsid w:val="009B4AA5"/>
    <w:rsid w:val="009C772B"/>
    <w:rsid w:val="009D18B6"/>
    <w:rsid w:val="009D599E"/>
    <w:rsid w:val="009E69A3"/>
    <w:rsid w:val="009E6A22"/>
    <w:rsid w:val="00A06B8F"/>
    <w:rsid w:val="00A10F50"/>
    <w:rsid w:val="00A27C2E"/>
    <w:rsid w:val="00A31D8B"/>
    <w:rsid w:val="00A3465C"/>
    <w:rsid w:val="00A43620"/>
    <w:rsid w:val="00A440C9"/>
    <w:rsid w:val="00A45398"/>
    <w:rsid w:val="00A466C7"/>
    <w:rsid w:val="00A54A16"/>
    <w:rsid w:val="00A61B53"/>
    <w:rsid w:val="00A62005"/>
    <w:rsid w:val="00A72819"/>
    <w:rsid w:val="00A75750"/>
    <w:rsid w:val="00A77AC6"/>
    <w:rsid w:val="00A839EA"/>
    <w:rsid w:val="00A865E9"/>
    <w:rsid w:val="00A90ED0"/>
    <w:rsid w:val="00A96C99"/>
    <w:rsid w:val="00AA5711"/>
    <w:rsid w:val="00AA5CF8"/>
    <w:rsid w:val="00AB2243"/>
    <w:rsid w:val="00AB3CCD"/>
    <w:rsid w:val="00AC3981"/>
    <w:rsid w:val="00AC58E0"/>
    <w:rsid w:val="00AE0CF9"/>
    <w:rsid w:val="00AE2B66"/>
    <w:rsid w:val="00AE6B55"/>
    <w:rsid w:val="00AF4A13"/>
    <w:rsid w:val="00AF777E"/>
    <w:rsid w:val="00B04D4C"/>
    <w:rsid w:val="00B11E9A"/>
    <w:rsid w:val="00B30F90"/>
    <w:rsid w:val="00B32AF7"/>
    <w:rsid w:val="00B378C5"/>
    <w:rsid w:val="00B42CCD"/>
    <w:rsid w:val="00B453AC"/>
    <w:rsid w:val="00B47D57"/>
    <w:rsid w:val="00B53A29"/>
    <w:rsid w:val="00B65AB4"/>
    <w:rsid w:val="00B737ED"/>
    <w:rsid w:val="00B801CE"/>
    <w:rsid w:val="00B81957"/>
    <w:rsid w:val="00B82377"/>
    <w:rsid w:val="00B8586C"/>
    <w:rsid w:val="00B92247"/>
    <w:rsid w:val="00B94F76"/>
    <w:rsid w:val="00BA032F"/>
    <w:rsid w:val="00BA0F00"/>
    <w:rsid w:val="00BB24FA"/>
    <w:rsid w:val="00BB295A"/>
    <w:rsid w:val="00BB4BC9"/>
    <w:rsid w:val="00BB6388"/>
    <w:rsid w:val="00BC2841"/>
    <w:rsid w:val="00BC3FBA"/>
    <w:rsid w:val="00BC6726"/>
    <w:rsid w:val="00BD00DC"/>
    <w:rsid w:val="00BD219D"/>
    <w:rsid w:val="00BE342C"/>
    <w:rsid w:val="00BE5870"/>
    <w:rsid w:val="00BE6F34"/>
    <w:rsid w:val="00BF0CEC"/>
    <w:rsid w:val="00BF4302"/>
    <w:rsid w:val="00C02F07"/>
    <w:rsid w:val="00C03124"/>
    <w:rsid w:val="00C036F2"/>
    <w:rsid w:val="00C03706"/>
    <w:rsid w:val="00C070D0"/>
    <w:rsid w:val="00C13F4F"/>
    <w:rsid w:val="00C17781"/>
    <w:rsid w:val="00C25BF7"/>
    <w:rsid w:val="00C31DF6"/>
    <w:rsid w:val="00C341C7"/>
    <w:rsid w:val="00C347C4"/>
    <w:rsid w:val="00C445DE"/>
    <w:rsid w:val="00C50730"/>
    <w:rsid w:val="00C51000"/>
    <w:rsid w:val="00C52DC9"/>
    <w:rsid w:val="00C54375"/>
    <w:rsid w:val="00C54C32"/>
    <w:rsid w:val="00C6346A"/>
    <w:rsid w:val="00C63905"/>
    <w:rsid w:val="00C63EDA"/>
    <w:rsid w:val="00C70DA6"/>
    <w:rsid w:val="00C77D9A"/>
    <w:rsid w:val="00C80EC2"/>
    <w:rsid w:val="00C834F0"/>
    <w:rsid w:val="00C919C8"/>
    <w:rsid w:val="00C93597"/>
    <w:rsid w:val="00C95455"/>
    <w:rsid w:val="00CA448B"/>
    <w:rsid w:val="00CA7727"/>
    <w:rsid w:val="00CB38AF"/>
    <w:rsid w:val="00CB6577"/>
    <w:rsid w:val="00CC419D"/>
    <w:rsid w:val="00CC7CA7"/>
    <w:rsid w:val="00CE7575"/>
    <w:rsid w:val="00CE796B"/>
    <w:rsid w:val="00CF2A2D"/>
    <w:rsid w:val="00CF62F8"/>
    <w:rsid w:val="00CF7309"/>
    <w:rsid w:val="00D0562F"/>
    <w:rsid w:val="00D071BB"/>
    <w:rsid w:val="00D11C07"/>
    <w:rsid w:val="00D17BDE"/>
    <w:rsid w:val="00D20037"/>
    <w:rsid w:val="00D2505E"/>
    <w:rsid w:val="00D25614"/>
    <w:rsid w:val="00D25B42"/>
    <w:rsid w:val="00D3706F"/>
    <w:rsid w:val="00D44BA7"/>
    <w:rsid w:val="00D45257"/>
    <w:rsid w:val="00D51C10"/>
    <w:rsid w:val="00D54A2F"/>
    <w:rsid w:val="00D56FA6"/>
    <w:rsid w:val="00D63F4E"/>
    <w:rsid w:val="00D65553"/>
    <w:rsid w:val="00D71536"/>
    <w:rsid w:val="00D740B8"/>
    <w:rsid w:val="00D74722"/>
    <w:rsid w:val="00D80800"/>
    <w:rsid w:val="00D92AD0"/>
    <w:rsid w:val="00D9680A"/>
    <w:rsid w:val="00D97A78"/>
    <w:rsid w:val="00D97D1A"/>
    <w:rsid w:val="00DA2F1C"/>
    <w:rsid w:val="00DB3FAB"/>
    <w:rsid w:val="00DB5D04"/>
    <w:rsid w:val="00DC008D"/>
    <w:rsid w:val="00DC0459"/>
    <w:rsid w:val="00DC4F18"/>
    <w:rsid w:val="00DE0E0F"/>
    <w:rsid w:val="00DE2F2B"/>
    <w:rsid w:val="00E03A6F"/>
    <w:rsid w:val="00E14427"/>
    <w:rsid w:val="00E15FCB"/>
    <w:rsid w:val="00E179DB"/>
    <w:rsid w:val="00E23AAB"/>
    <w:rsid w:val="00E3084F"/>
    <w:rsid w:val="00E36908"/>
    <w:rsid w:val="00E4283F"/>
    <w:rsid w:val="00E57DE1"/>
    <w:rsid w:val="00E67092"/>
    <w:rsid w:val="00E7012A"/>
    <w:rsid w:val="00E7782C"/>
    <w:rsid w:val="00E91629"/>
    <w:rsid w:val="00EB690F"/>
    <w:rsid w:val="00EB6F46"/>
    <w:rsid w:val="00EC153A"/>
    <w:rsid w:val="00EC3379"/>
    <w:rsid w:val="00EC7C4A"/>
    <w:rsid w:val="00ED142A"/>
    <w:rsid w:val="00EE12CB"/>
    <w:rsid w:val="00EE3B89"/>
    <w:rsid w:val="00EE47CA"/>
    <w:rsid w:val="00EE4E6E"/>
    <w:rsid w:val="00EF019C"/>
    <w:rsid w:val="00EF546F"/>
    <w:rsid w:val="00F0451F"/>
    <w:rsid w:val="00F1384F"/>
    <w:rsid w:val="00F149A7"/>
    <w:rsid w:val="00F15223"/>
    <w:rsid w:val="00F32E66"/>
    <w:rsid w:val="00F34888"/>
    <w:rsid w:val="00F36663"/>
    <w:rsid w:val="00F36B03"/>
    <w:rsid w:val="00F45AC8"/>
    <w:rsid w:val="00F54B95"/>
    <w:rsid w:val="00F650CC"/>
    <w:rsid w:val="00F6664E"/>
    <w:rsid w:val="00F81421"/>
    <w:rsid w:val="00F906AA"/>
    <w:rsid w:val="00F92AF4"/>
    <w:rsid w:val="00FB09B2"/>
    <w:rsid w:val="00FB55AF"/>
    <w:rsid w:val="00FC5559"/>
    <w:rsid w:val="00FD7E56"/>
    <w:rsid w:val="00FE0B69"/>
    <w:rsid w:val="00FE39FB"/>
    <w:rsid w:val="00FE4045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  <w:style w:type="paragraph" w:styleId="Tekstpodstawowy">
    <w:name w:val="Body Text"/>
    <w:basedOn w:val="Normalny"/>
    <w:link w:val="TekstpodstawowyZnak"/>
    <w:rsid w:val="003E33E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33E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E33EC"/>
    <w:pPr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4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E2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akazimierczak@taube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kowronek@tauber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 Kazimieczak</cp:lastModifiedBy>
  <cp:revision>4</cp:revision>
  <dcterms:created xsi:type="dcterms:W3CDTF">2016-03-30T12:03:00Z</dcterms:created>
  <dcterms:modified xsi:type="dcterms:W3CDTF">2016-03-30T12:10:00Z</dcterms:modified>
</cp:coreProperties>
</file>