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E0" w:rsidRDefault="00416340">
      <w:pPr>
        <w:jc w:val="right"/>
        <w:rPr>
          <w:sz w:val="20"/>
          <w:szCs w:val="20"/>
        </w:rPr>
      </w:pPr>
      <w:r>
        <w:rPr>
          <w:sz w:val="20"/>
          <w:szCs w:val="20"/>
        </w:rPr>
        <w:t>Kraków 1</w:t>
      </w:r>
      <w:r w:rsidR="009119E8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9119E8">
        <w:rPr>
          <w:sz w:val="20"/>
          <w:szCs w:val="20"/>
        </w:rPr>
        <w:t>10</w:t>
      </w:r>
      <w:r>
        <w:rPr>
          <w:sz w:val="20"/>
          <w:szCs w:val="20"/>
        </w:rPr>
        <w:t>.2016 r.</w:t>
      </w:r>
    </w:p>
    <w:p w:rsidR="002B16E0" w:rsidRDefault="00416340">
      <w:pPr>
        <w:rPr>
          <w:rFonts w:cs="Arial"/>
        </w:rPr>
      </w:pPr>
      <w:r>
        <w:rPr>
          <w:rFonts w:cs="Arial"/>
        </w:rPr>
        <w:t>Informacja prasowa</w:t>
      </w:r>
    </w:p>
    <w:p w:rsidR="009119E8" w:rsidRDefault="00416340" w:rsidP="009119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 S.A. </w:t>
      </w:r>
      <w:r w:rsidR="009119E8">
        <w:rPr>
          <w:b/>
          <w:bCs/>
          <w:sz w:val="28"/>
          <w:szCs w:val="28"/>
        </w:rPr>
        <w:t xml:space="preserve">rozpoczyna zapisy </w:t>
      </w:r>
      <w:r w:rsidR="00D202A1">
        <w:rPr>
          <w:b/>
          <w:bCs/>
          <w:sz w:val="28"/>
          <w:szCs w:val="28"/>
        </w:rPr>
        <w:t xml:space="preserve">na akcje </w:t>
      </w:r>
      <w:r w:rsidR="009119E8">
        <w:rPr>
          <w:b/>
          <w:bCs/>
          <w:sz w:val="28"/>
          <w:szCs w:val="28"/>
        </w:rPr>
        <w:t>w ramach</w:t>
      </w:r>
      <w:r>
        <w:rPr>
          <w:b/>
          <w:bCs/>
          <w:sz w:val="28"/>
          <w:szCs w:val="28"/>
        </w:rPr>
        <w:t xml:space="preserve"> Ofert</w:t>
      </w:r>
      <w:r w:rsidR="009119E8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Publiczn</w:t>
      </w:r>
      <w:r w:rsidR="009119E8">
        <w:rPr>
          <w:b/>
          <w:bCs/>
          <w:sz w:val="28"/>
          <w:szCs w:val="28"/>
        </w:rPr>
        <w:t>ej</w:t>
      </w:r>
      <w:r>
        <w:rPr>
          <w:b/>
          <w:bCs/>
          <w:sz w:val="28"/>
          <w:szCs w:val="28"/>
        </w:rPr>
        <w:t xml:space="preserve"> </w:t>
      </w:r>
    </w:p>
    <w:p w:rsidR="002B16E0" w:rsidRDefault="00416340" w:rsidP="009119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Biuro Inwestycji Kapitałowych S.A. i </w:t>
      </w:r>
      <w:proofErr w:type="spellStart"/>
      <w:r>
        <w:rPr>
          <w:b/>
          <w:sz w:val="24"/>
          <w:szCs w:val="24"/>
        </w:rPr>
        <w:t>Belancor</w:t>
      </w:r>
      <w:proofErr w:type="spellEnd"/>
      <w:r>
        <w:rPr>
          <w:b/>
          <w:sz w:val="24"/>
          <w:szCs w:val="24"/>
        </w:rPr>
        <w:t xml:space="preserve"> Sp. z o.o.(sprzedający), w uzgodnieniu z oferującym </w:t>
      </w:r>
      <w:r w:rsidR="009119E8">
        <w:rPr>
          <w:b/>
          <w:sz w:val="24"/>
          <w:szCs w:val="24"/>
        </w:rPr>
        <w:t xml:space="preserve">przedstawili nowe terminy </w:t>
      </w:r>
      <w:r>
        <w:rPr>
          <w:b/>
          <w:sz w:val="24"/>
          <w:szCs w:val="24"/>
        </w:rPr>
        <w:t xml:space="preserve">Oferty Publicznej. </w:t>
      </w:r>
      <w:r w:rsidR="009119E8">
        <w:rPr>
          <w:b/>
          <w:sz w:val="24"/>
          <w:szCs w:val="24"/>
        </w:rPr>
        <w:t>Zapisy w Transzy Indywidualnej będą pr</w:t>
      </w:r>
      <w:r w:rsidR="00D202A1">
        <w:rPr>
          <w:b/>
          <w:sz w:val="24"/>
          <w:szCs w:val="24"/>
        </w:rPr>
        <w:t>zyjmowane</w:t>
      </w:r>
      <w:r w:rsidR="009119E8">
        <w:rPr>
          <w:b/>
          <w:sz w:val="24"/>
          <w:szCs w:val="24"/>
        </w:rPr>
        <w:t xml:space="preserve"> od 27 października do 3 listopada br., a w Transzy Instytucjonalnej o jeden dzień dłużej. </w:t>
      </w:r>
    </w:p>
    <w:p w:rsidR="002B16E0" w:rsidRDefault="00416340">
      <w:pPr>
        <w:jc w:val="both"/>
        <w:rPr>
          <w:rFonts w:cs="Calibri"/>
        </w:rPr>
      </w:pPr>
      <w:r>
        <w:rPr>
          <w:rFonts w:cs="Calibri"/>
        </w:rPr>
        <w:t xml:space="preserve">Biuro Inwestycji Kapitałowych S.A. oraz </w:t>
      </w:r>
      <w:proofErr w:type="spellStart"/>
      <w:r>
        <w:rPr>
          <w:rFonts w:cs="Calibri"/>
        </w:rPr>
        <w:t>Belancor</w:t>
      </w:r>
      <w:proofErr w:type="spellEnd"/>
      <w:r>
        <w:rPr>
          <w:rFonts w:cs="Calibri"/>
        </w:rPr>
        <w:t xml:space="preserve"> Sp. z o.o. podjęli decyzję dotyczą </w:t>
      </w:r>
      <w:r w:rsidR="00D202A1">
        <w:rPr>
          <w:rFonts w:cs="Calibri"/>
        </w:rPr>
        <w:t>wznowienia</w:t>
      </w:r>
      <w:r>
        <w:rPr>
          <w:rFonts w:cs="Calibri"/>
        </w:rPr>
        <w:t xml:space="preserve"> Publicznej Oferty Akcji</w:t>
      </w:r>
      <w:r w:rsidR="00517F89">
        <w:rPr>
          <w:rFonts w:cs="Calibri"/>
        </w:rPr>
        <w:t>, która została zawieszona wiosną tego roku przed rozpoczęciem zapisów</w:t>
      </w:r>
      <w:r>
        <w:rPr>
          <w:rFonts w:cs="Calibri"/>
        </w:rPr>
        <w:t xml:space="preserve">. </w:t>
      </w:r>
      <w:r w:rsidR="00C22A42">
        <w:rPr>
          <w:rFonts w:cs="Calibri"/>
        </w:rPr>
        <w:t>Zgodnie z n</w:t>
      </w:r>
      <w:r>
        <w:rPr>
          <w:rFonts w:cs="Calibri"/>
        </w:rPr>
        <w:t>owy</w:t>
      </w:r>
      <w:r w:rsidR="00517F89">
        <w:rPr>
          <w:rFonts w:cs="Calibri"/>
        </w:rPr>
        <w:t>m</w:t>
      </w:r>
      <w:r>
        <w:rPr>
          <w:rFonts w:cs="Calibri"/>
        </w:rPr>
        <w:t xml:space="preserve"> harmonogram</w:t>
      </w:r>
      <w:r w:rsidR="00C22A42">
        <w:rPr>
          <w:rFonts w:cs="Calibri"/>
        </w:rPr>
        <w:t>em</w:t>
      </w:r>
      <w:r>
        <w:rPr>
          <w:rFonts w:cs="Calibri"/>
        </w:rPr>
        <w:t xml:space="preserve"> IPO</w:t>
      </w:r>
      <w:r w:rsidR="00C22A42">
        <w:rPr>
          <w:rFonts w:cs="Calibri"/>
        </w:rPr>
        <w:t xml:space="preserve"> book-building będzie prowadzony w dniach 25-2</w:t>
      </w:r>
      <w:r w:rsidR="00C6219E">
        <w:rPr>
          <w:rFonts w:cs="Calibri"/>
        </w:rPr>
        <w:t>6</w:t>
      </w:r>
      <w:r w:rsidR="00C22A42">
        <w:rPr>
          <w:rFonts w:cs="Calibri"/>
        </w:rPr>
        <w:t xml:space="preserve"> października br. Następnego dnia, czyli 27 października br. </w:t>
      </w:r>
      <w:r w:rsidR="00C22A42">
        <w:rPr>
          <w:rFonts w:cs="Calibri"/>
          <w:color w:val="000000"/>
        </w:rPr>
        <w:t>zostanie</w:t>
      </w:r>
      <w:r w:rsidR="00C22A42" w:rsidRPr="00223A83">
        <w:rPr>
          <w:rFonts w:cs="Calibri"/>
          <w:color w:val="000000"/>
        </w:rPr>
        <w:t xml:space="preserve"> </w:t>
      </w:r>
      <w:r w:rsidR="00C6219E">
        <w:rPr>
          <w:rFonts w:cs="Calibri"/>
        </w:rPr>
        <w:t>u</w:t>
      </w:r>
      <w:r w:rsidR="00C6219E" w:rsidRPr="00223A83">
        <w:rPr>
          <w:rFonts w:cs="Calibri"/>
          <w:color w:val="000000"/>
        </w:rPr>
        <w:t>stal</w:t>
      </w:r>
      <w:r w:rsidR="00C6219E">
        <w:rPr>
          <w:rFonts w:cs="Calibri"/>
          <w:color w:val="000000"/>
        </w:rPr>
        <w:t>ona</w:t>
      </w:r>
      <w:r w:rsidR="00C6219E" w:rsidRPr="00223A83">
        <w:rPr>
          <w:rFonts w:cs="Calibri"/>
          <w:color w:val="000000"/>
        </w:rPr>
        <w:t xml:space="preserve"> </w:t>
      </w:r>
      <w:r w:rsidR="00C22A42" w:rsidRPr="00223A83">
        <w:rPr>
          <w:rFonts w:cs="Calibri"/>
          <w:color w:val="000000"/>
        </w:rPr>
        <w:t>i podan</w:t>
      </w:r>
      <w:r w:rsidR="00C22A42">
        <w:rPr>
          <w:rFonts w:cs="Calibri"/>
          <w:color w:val="000000"/>
        </w:rPr>
        <w:t>a</w:t>
      </w:r>
      <w:r w:rsidR="00C22A42" w:rsidRPr="00223A83">
        <w:rPr>
          <w:rFonts w:cs="Calibri"/>
          <w:color w:val="000000"/>
        </w:rPr>
        <w:t xml:space="preserve"> do publicznej wiadomości ostateczn</w:t>
      </w:r>
      <w:r w:rsidR="00C22A42">
        <w:rPr>
          <w:rFonts w:cs="Calibri"/>
          <w:color w:val="000000"/>
        </w:rPr>
        <w:t>a</w:t>
      </w:r>
      <w:r w:rsidR="00C22A42" w:rsidRPr="00223A83">
        <w:rPr>
          <w:rFonts w:cs="Calibri"/>
          <w:color w:val="000000"/>
        </w:rPr>
        <w:t xml:space="preserve"> cen</w:t>
      </w:r>
      <w:r w:rsidR="00C22A42">
        <w:rPr>
          <w:rFonts w:cs="Calibri"/>
          <w:color w:val="000000"/>
        </w:rPr>
        <w:t>a</w:t>
      </w:r>
      <w:r w:rsidR="00C22A42" w:rsidRPr="00223A83">
        <w:rPr>
          <w:rFonts w:cs="Calibri"/>
          <w:color w:val="000000"/>
        </w:rPr>
        <w:t xml:space="preserve"> emisyjn</w:t>
      </w:r>
      <w:r w:rsidR="00C22A42">
        <w:rPr>
          <w:rFonts w:cs="Calibri"/>
          <w:color w:val="000000"/>
        </w:rPr>
        <w:t>a</w:t>
      </w:r>
      <w:r w:rsidR="00C22A42" w:rsidRPr="00223A83">
        <w:rPr>
          <w:rFonts w:cs="Calibri"/>
          <w:color w:val="000000"/>
        </w:rPr>
        <w:t xml:space="preserve"> oraz cen</w:t>
      </w:r>
      <w:r w:rsidR="00C22A42">
        <w:rPr>
          <w:rFonts w:cs="Calibri"/>
          <w:color w:val="000000"/>
        </w:rPr>
        <w:t>a</w:t>
      </w:r>
      <w:r w:rsidR="00C22A42" w:rsidRPr="00223A83">
        <w:rPr>
          <w:rFonts w:cs="Calibri"/>
          <w:color w:val="000000"/>
        </w:rPr>
        <w:t xml:space="preserve"> </w:t>
      </w:r>
      <w:r w:rsidR="00C22A42">
        <w:rPr>
          <w:rFonts w:cs="Calibri"/>
          <w:color w:val="000000"/>
        </w:rPr>
        <w:t>sprzedaży, a także informacja o </w:t>
      </w:r>
      <w:r w:rsidR="00C22A42" w:rsidRPr="00223A83">
        <w:rPr>
          <w:rFonts w:cs="Calibri"/>
          <w:color w:val="000000"/>
        </w:rPr>
        <w:t xml:space="preserve">ostatecznej liczbie Akcji </w:t>
      </w:r>
      <w:r w:rsidR="00C22A42">
        <w:rPr>
          <w:rFonts w:cs="Calibri"/>
          <w:color w:val="000000"/>
        </w:rPr>
        <w:t>Oferowanych i Akcji S</w:t>
      </w:r>
      <w:r w:rsidR="00C22A42" w:rsidRPr="00223A83">
        <w:rPr>
          <w:rFonts w:cs="Calibri"/>
          <w:color w:val="000000"/>
        </w:rPr>
        <w:t xml:space="preserve">przedawanych, w </w:t>
      </w:r>
      <w:r w:rsidR="00C22A42">
        <w:rPr>
          <w:rFonts w:cs="Calibri"/>
          <w:color w:val="000000"/>
        </w:rPr>
        <w:t>tym liczbie Akcji Oferowanych w </w:t>
      </w:r>
      <w:r w:rsidR="00C22A42" w:rsidRPr="00223A83">
        <w:rPr>
          <w:rFonts w:cs="Calibri"/>
          <w:color w:val="000000"/>
        </w:rPr>
        <w:t>poszczególnych transzach</w:t>
      </w:r>
      <w:r>
        <w:rPr>
          <w:rFonts w:cs="Calibri"/>
        </w:rPr>
        <w:t>. </w:t>
      </w:r>
    </w:p>
    <w:p w:rsidR="00C22A42" w:rsidRDefault="00C22A42">
      <w:pPr>
        <w:jc w:val="both"/>
        <w:rPr>
          <w:rFonts w:cs="Calibri"/>
        </w:rPr>
      </w:pPr>
      <w:r w:rsidRPr="00223A83">
        <w:rPr>
          <w:rFonts w:cs="Calibri"/>
          <w:color w:val="000000"/>
        </w:rPr>
        <w:t>Rozpoczęcie Publicznej Ofe</w:t>
      </w:r>
      <w:r>
        <w:rPr>
          <w:rFonts w:cs="Calibri"/>
          <w:color w:val="000000"/>
        </w:rPr>
        <w:t>rty oraz przyjmowani</w:t>
      </w:r>
      <w:r w:rsidR="00C6219E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zapisów w </w:t>
      </w:r>
      <w:r w:rsidRPr="00223A83">
        <w:rPr>
          <w:rFonts w:cs="Calibri"/>
          <w:color w:val="000000"/>
        </w:rPr>
        <w:t>Transzy Instytucjonalnej i Transzy Indywidualnej</w:t>
      </w:r>
      <w:r>
        <w:rPr>
          <w:rFonts w:cs="Calibri"/>
          <w:color w:val="000000"/>
        </w:rPr>
        <w:t xml:space="preserve"> rozpocznie się 27 października br. </w:t>
      </w:r>
      <w:r w:rsidRPr="00223A83">
        <w:rPr>
          <w:rFonts w:cs="Calibri"/>
          <w:color w:val="000000"/>
        </w:rPr>
        <w:t>Zakończenie przyjmowania zapisów w Transzy Indywidualnej</w:t>
      </w:r>
      <w:r>
        <w:rPr>
          <w:rFonts w:cs="Calibri"/>
          <w:color w:val="000000"/>
        </w:rPr>
        <w:t xml:space="preserve"> planowane jest na 3 listopada br., a </w:t>
      </w:r>
      <w:r w:rsidRPr="00223A83">
        <w:rPr>
          <w:rFonts w:cs="Calibri"/>
          <w:color w:val="000000"/>
        </w:rPr>
        <w:t>w Transzy Instytucjonalnej</w:t>
      </w:r>
      <w:r>
        <w:rPr>
          <w:rFonts w:cs="Calibri"/>
          <w:color w:val="000000"/>
        </w:rPr>
        <w:t xml:space="preserve"> jeden dzień później, czyli 4 listopada br. </w:t>
      </w:r>
      <w:r w:rsidR="00E51931">
        <w:rPr>
          <w:rFonts w:cs="Calibri"/>
          <w:color w:val="000000"/>
        </w:rPr>
        <w:t>Przydział akcji jest ustalony na 7 listopada br. Oferującym jest Dom Maklerski Banku Ochrony Środowiska S.A.</w:t>
      </w:r>
    </w:p>
    <w:p w:rsidR="00E51931" w:rsidRDefault="00416340">
      <w:pPr>
        <w:jc w:val="both"/>
        <w:rPr>
          <w:i/>
        </w:rPr>
      </w:pPr>
      <w:r>
        <w:rPr>
          <w:i/>
        </w:rPr>
        <w:t>„</w:t>
      </w:r>
      <w:r w:rsidR="00E51931">
        <w:rPr>
          <w:i/>
        </w:rPr>
        <w:t xml:space="preserve">Podjęliśmy decyzję o wznowieniu Oferty Publicznej. Oceniamy, że koniunktura na rynku kapitałowym poprawiła się względem sytuacji panującej wiosną tego roku kiedy zawiesiliśmy ten proces. Jesteśmy przekonani, że Inwestorzy </w:t>
      </w:r>
      <w:r w:rsidR="00E51931">
        <w:rPr>
          <w:rStyle w:val="Uwydatnienie"/>
        </w:rPr>
        <w:t xml:space="preserve">docenią nasz model biznesu i bardzo dobre perspektywy branży </w:t>
      </w:r>
      <w:r w:rsidR="00874072">
        <w:rPr>
          <w:rStyle w:val="Uwydatnienie"/>
        </w:rPr>
        <w:t xml:space="preserve">magazynowej i handlowej, </w:t>
      </w:r>
      <w:r w:rsidR="00E51931">
        <w:rPr>
          <w:rStyle w:val="Uwydatnienie"/>
        </w:rPr>
        <w:t xml:space="preserve">w której działamy. Dlatego liczymy na ich duże zainteresowanie naszą ofertą” - </w:t>
      </w:r>
      <w:r w:rsidR="00E51931">
        <w:t>powiedział Mirosław Koszany, Prezes Zarządu BIK S.A.</w:t>
      </w:r>
    </w:p>
    <w:p w:rsidR="00874072" w:rsidRDefault="00416340">
      <w:pPr>
        <w:autoSpaceDE w:val="0"/>
        <w:jc w:val="both"/>
      </w:pPr>
      <w:r>
        <w:t xml:space="preserve">Na podstawie Prospektu Emisyjnego, </w:t>
      </w:r>
      <w:r>
        <w:rPr>
          <w:rFonts w:cs="Calibri"/>
        </w:rPr>
        <w:t xml:space="preserve">zatwierdzonego przez Komisję Nadzoru Finansowego w dniu 8 grudnia 2015 r., </w:t>
      </w:r>
      <w:r>
        <w:t xml:space="preserve">oferowanych </w:t>
      </w:r>
      <w:r w:rsidR="00874072">
        <w:t xml:space="preserve">jest </w:t>
      </w:r>
      <w:r>
        <w:t xml:space="preserve">1.130.000 nowych akcji serii I oraz sprzedawanych </w:t>
      </w:r>
      <w:r w:rsidR="00874072">
        <w:t>jest</w:t>
      </w:r>
      <w:r>
        <w:t xml:space="preserve"> do 569.606 istniejących akcji serii H. Biuro Inwestycji Kapitałowych S.A. oczek</w:t>
      </w:r>
      <w:r w:rsidR="00874072">
        <w:t>uje</w:t>
      </w:r>
      <w:r>
        <w:t xml:space="preserve"> wpływów z emisji akcji serii I na poziomie około 23,7 mln zł brutto. Wpływy netto zostały oszacowane na poziomie ok. 22,5 mln zł. Celem emisyjnym </w:t>
      </w:r>
      <w:r w:rsidR="00874072">
        <w:t>jest</w:t>
      </w:r>
      <w:r>
        <w:t xml:space="preserve"> rozbudowa Centrum Logistycznego w Sosnowcu, budowa Centrum Logistycznego Kraków III oraz budowa Parku Handlowego w Dzierżoniowie. </w:t>
      </w:r>
    </w:p>
    <w:p w:rsidR="002B16E0" w:rsidRDefault="00416340">
      <w:pPr>
        <w:autoSpaceDE w:val="0"/>
        <w:jc w:val="both"/>
      </w:pPr>
      <w:r>
        <w:t>Grupa zarządza aktualnie trzema parkami logistycznymi: Centrum Logistycznym Kraków I, Centrum Logistycznym Kraków II oraz Śląskim Centrum Logistycznym w Sosnowcu o łącznej powierzchni najmu wynoszącej 55,8 tys. m</w:t>
      </w:r>
      <w:r>
        <w:rPr>
          <w:vertAlign w:val="superscript"/>
        </w:rPr>
        <w:t>2</w:t>
      </w:r>
      <w:r>
        <w:t>. W ramach dywersyfikacji działalności zajmuje się także budową i wynajmem nowoczesnych powierzchni handlowych w segmencie parków handlowych (</w:t>
      </w:r>
      <w:proofErr w:type="spellStart"/>
      <w:r>
        <w:t>retail</w:t>
      </w:r>
      <w:proofErr w:type="spellEnd"/>
      <w:r>
        <w:t xml:space="preserve"> parków). Dotychczas zrealizowane zostały dwa </w:t>
      </w:r>
      <w:proofErr w:type="spellStart"/>
      <w:r>
        <w:t>retail</w:t>
      </w:r>
      <w:proofErr w:type="spellEnd"/>
      <w:r>
        <w:t xml:space="preserve"> parki: w Puławach i Bielsku-Białej.</w:t>
      </w:r>
    </w:p>
    <w:p w:rsidR="002B16E0" w:rsidRDefault="00416340">
      <w:pPr>
        <w:spacing w:line="240" w:lineRule="auto"/>
        <w:jc w:val="center"/>
      </w:pPr>
      <w:r>
        <w:rPr>
          <w:sz w:val="24"/>
          <w:szCs w:val="24"/>
        </w:rPr>
        <w:t>***</w:t>
      </w:r>
      <w:r>
        <w:rPr>
          <w:sz w:val="16"/>
          <w:szCs w:val="16"/>
        </w:rPr>
        <w:t xml:space="preserve"> </w:t>
      </w:r>
    </w:p>
    <w:p w:rsidR="002B16E0" w:rsidRDefault="00416340">
      <w:pPr>
        <w:jc w:val="both"/>
      </w:pPr>
      <w:r>
        <w:rPr>
          <w:i/>
          <w:iCs/>
          <w:sz w:val="16"/>
          <w:szCs w:val="16"/>
        </w:rPr>
        <w:lastRenderedPageBreak/>
        <w:t xml:space="preserve">Niniejsza informacja jest materiałem reklamowym i promocyjnym w rozumieniu art. 53 ustawy z dnia 29 lipca 2005 r. o ofercie publicznej i warunkach wprowadzania instrumentów finansowych do zorganizowanego systemu obrotu oraz o spółkach publicznych (tekst jednolity </w:t>
      </w:r>
      <w:proofErr w:type="spellStart"/>
      <w:r>
        <w:rPr>
          <w:i/>
          <w:iCs/>
          <w:sz w:val="16"/>
          <w:szCs w:val="16"/>
        </w:rPr>
        <w:t>Dz.U</w:t>
      </w:r>
      <w:proofErr w:type="spellEnd"/>
      <w:r>
        <w:rPr>
          <w:i/>
          <w:iCs/>
          <w:sz w:val="16"/>
          <w:szCs w:val="16"/>
        </w:rPr>
        <w:t xml:space="preserve">. z 2013 roku poz. 1382). </w:t>
      </w:r>
      <w:r>
        <w:rPr>
          <w:i/>
          <w:sz w:val="16"/>
          <w:szCs w:val="16"/>
        </w:rPr>
        <w:t xml:space="preserve">Niniejszy materiał w żadnym przypadku nie stanowi oferty ani zaproszenia, jak również podstaw podjęcia decyzji w przedmiocie inwestowania w papiery wartościowe </w:t>
      </w:r>
      <w:r>
        <w:rPr>
          <w:i/>
          <w:iCs/>
          <w:sz w:val="16"/>
          <w:szCs w:val="16"/>
        </w:rPr>
        <w:t>Biura Inwestycji Kapitałowych S.A.</w:t>
      </w:r>
    </w:p>
    <w:p w:rsidR="002B16E0" w:rsidRDefault="00416340">
      <w:pPr>
        <w:jc w:val="both"/>
      </w:pPr>
      <w:r>
        <w:rPr>
          <w:i/>
          <w:sz w:val="16"/>
          <w:szCs w:val="16"/>
        </w:rPr>
        <w:t>Prospekt Emisyjny, sporządzony w związku z ofertą publiczną akcji Biura Inwestycji Kapitałowych S.A. i ubieganiem się o dopuszczenie oraz wprowadzenie papierów wartościowych Biura Inwestycji Kapitałowych</w:t>
      </w:r>
      <w:r>
        <w:rPr>
          <w:i/>
          <w:iCs/>
          <w:sz w:val="16"/>
          <w:szCs w:val="16"/>
        </w:rPr>
        <w:t xml:space="preserve"> S.A. </w:t>
      </w:r>
      <w:r>
        <w:rPr>
          <w:i/>
          <w:sz w:val="16"/>
          <w:szCs w:val="16"/>
        </w:rPr>
        <w:t xml:space="preserve">do obrotu na Giełdzie Papierów Wartościowych w Warszawie S.A., który w dniu 08.12.2015 r. został zatwierdzony przez Komisję Nadzoru Finansowego, jest jedynym prawnie wiążącym dokumentem zawierającym informacje o Biurze Inwestycji Kapitałowych S.A. i ofercie publicznej. Prospekt Emisyjny udostępniono na stronie internetowej Biura Inwestycji Kapitałowych S.A. </w:t>
      </w:r>
      <w:hyperlink r:id="rId6" w:history="1">
        <w:r>
          <w:rPr>
            <w:rStyle w:val="Hipercze"/>
            <w:i/>
            <w:sz w:val="16"/>
            <w:szCs w:val="16"/>
          </w:rPr>
          <w:t>www.bik.com.pl</w:t>
        </w:r>
      </w:hyperlink>
      <w:r>
        <w:rPr>
          <w:i/>
          <w:iCs/>
          <w:sz w:val="16"/>
          <w:szCs w:val="16"/>
        </w:rPr>
        <w:t xml:space="preserve"> i na stronie internetowej Domu Maklerskiego </w:t>
      </w:r>
      <w:r w:rsidR="00DA7645">
        <w:rPr>
          <w:i/>
          <w:iCs/>
          <w:sz w:val="16"/>
          <w:szCs w:val="16"/>
        </w:rPr>
        <w:t>Banku Ochrony Środowiska</w:t>
      </w:r>
      <w:r>
        <w:rPr>
          <w:i/>
          <w:iCs/>
          <w:sz w:val="16"/>
          <w:szCs w:val="16"/>
        </w:rPr>
        <w:t xml:space="preserve"> S.A. pod adresem </w:t>
      </w:r>
      <w:hyperlink r:id="rId7" w:history="1">
        <w:r w:rsidR="00DA7645" w:rsidRPr="00814C5F">
          <w:rPr>
            <w:rStyle w:val="Hipercze"/>
            <w:i/>
            <w:iCs/>
            <w:sz w:val="16"/>
            <w:szCs w:val="16"/>
          </w:rPr>
          <w:t>www.bossa.pl</w:t>
        </w:r>
      </w:hyperlink>
      <w:r>
        <w:rPr>
          <w:i/>
          <w:sz w:val="16"/>
          <w:szCs w:val="16"/>
        </w:rPr>
        <w:t>, na których to stronach znajdą się ewentualne aneksy i komunikaty aktualizujące do Prospektu Emisyjnego. Niniejszy materiał nie stanowi rekomendacji w rozumieniu rozporządzenia Ministra Finansów z dnia 19 października 2005 roku w sprawie informacji stanowiących rekomendacje dotyczącą instrumentów finansowych, ich emitentów lub wystawców. Niniejszy materiał nie może być rozpowszechniany w Stanach Zjednoczonych Ameryki, Australii, Kanadzie i Japonii ani jakiejkolwiek innej jurysdykcji, w której stanowiłoby to naruszenie właściwych przepisów prawa lub wymagałoby rejestracji.</w:t>
      </w:r>
    </w:p>
    <w:p w:rsidR="002B16E0" w:rsidRDefault="002B16E0">
      <w:pPr>
        <w:rPr>
          <w:b/>
          <w:sz w:val="18"/>
          <w:szCs w:val="18"/>
        </w:rPr>
      </w:pPr>
    </w:p>
    <w:p w:rsidR="002B16E0" w:rsidRDefault="00D37732" w:rsidP="00D3773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***</w:t>
      </w:r>
    </w:p>
    <w:p w:rsidR="002B16E0" w:rsidRDefault="00416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Dodatkowych informacji udzielają:</w:t>
      </w:r>
    </w:p>
    <w:p w:rsidR="002B16E0" w:rsidRDefault="0041634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2B16E0" w:rsidRDefault="002B16E0">
      <w:pPr>
        <w:pStyle w:val="Stopka"/>
        <w:rPr>
          <w:sz w:val="18"/>
          <w:szCs w:val="18"/>
        </w:rPr>
      </w:pPr>
    </w:p>
    <w:p w:rsidR="002B16E0" w:rsidRDefault="00416340">
      <w:pPr>
        <w:pStyle w:val="Stopka"/>
        <w:rPr>
          <w:sz w:val="18"/>
          <w:szCs w:val="18"/>
        </w:rPr>
      </w:pPr>
      <w:r>
        <w:rPr>
          <w:sz w:val="18"/>
          <w:szCs w:val="18"/>
        </w:rPr>
        <w:t>Mariusz Skowronek,</w:t>
      </w:r>
    </w:p>
    <w:p w:rsidR="002B16E0" w:rsidRDefault="00416340">
      <w:pPr>
        <w:pStyle w:val="Stopka"/>
      </w:pPr>
      <w:r>
        <w:rPr>
          <w:sz w:val="18"/>
        </w:rPr>
        <w:t xml:space="preserve">e-mail: </w:t>
      </w:r>
      <w:hyperlink r:id="rId8" w:history="1">
        <w:r>
          <w:rPr>
            <w:rStyle w:val="Hipercze"/>
            <w:sz w:val="18"/>
          </w:rPr>
          <w:t>mskowronek@tauber.com.pl</w:t>
        </w:r>
      </w:hyperlink>
    </w:p>
    <w:p w:rsidR="002B16E0" w:rsidRDefault="00416340">
      <w:pPr>
        <w:pStyle w:val="Stopka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Tel.: +22 833 35 02; 698 612 866</w:t>
      </w:r>
    </w:p>
    <w:p w:rsidR="002B16E0" w:rsidRDefault="00416340">
      <w:pPr>
        <w:pStyle w:val="Stopka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</w:t>
      </w:r>
    </w:p>
    <w:p w:rsidR="002B16E0" w:rsidRDefault="00416340">
      <w:pPr>
        <w:pStyle w:val="Stopka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Andrzej Kazimierczak, </w:t>
      </w:r>
    </w:p>
    <w:p w:rsidR="002B16E0" w:rsidRDefault="00416340">
      <w:pPr>
        <w:pStyle w:val="Stopka"/>
      </w:pPr>
      <w:r>
        <w:rPr>
          <w:sz w:val="18"/>
          <w:szCs w:val="18"/>
          <w:lang w:val="de-DE"/>
        </w:rPr>
        <w:t>e-</w:t>
      </w:r>
      <w:proofErr w:type="spellStart"/>
      <w:r>
        <w:rPr>
          <w:sz w:val="18"/>
          <w:szCs w:val="18"/>
          <w:lang w:val="de-DE"/>
        </w:rPr>
        <w:t>mail</w:t>
      </w:r>
      <w:proofErr w:type="spellEnd"/>
      <w:r>
        <w:rPr>
          <w:sz w:val="18"/>
          <w:szCs w:val="18"/>
          <w:lang w:val="de-DE"/>
        </w:rPr>
        <w:t xml:space="preserve">: </w:t>
      </w:r>
      <w:hyperlink r:id="rId9" w:history="1">
        <w:r>
          <w:rPr>
            <w:rStyle w:val="Hipercze"/>
            <w:sz w:val="18"/>
            <w:szCs w:val="18"/>
            <w:lang w:val="de-DE"/>
          </w:rPr>
          <w:t>akazimierczak@tauber.com.pl</w:t>
        </w:r>
      </w:hyperlink>
      <w:r>
        <w:rPr>
          <w:sz w:val="18"/>
          <w:szCs w:val="18"/>
          <w:lang w:val="de-DE"/>
        </w:rPr>
        <w:t xml:space="preserve"> </w:t>
      </w:r>
    </w:p>
    <w:p w:rsidR="002B16E0" w:rsidRDefault="00416340">
      <w:pPr>
        <w:pStyle w:val="Stopka"/>
        <w:rPr>
          <w:sz w:val="18"/>
          <w:szCs w:val="18"/>
        </w:rPr>
      </w:pPr>
      <w:r>
        <w:rPr>
          <w:sz w:val="18"/>
          <w:szCs w:val="18"/>
        </w:rPr>
        <w:t>Tel.: +22 833 35 02; 691 507 173</w:t>
      </w:r>
    </w:p>
    <w:p w:rsidR="002B16E0" w:rsidRDefault="002B16E0">
      <w:pPr>
        <w:spacing w:line="240" w:lineRule="auto"/>
        <w:jc w:val="both"/>
      </w:pPr>
    </w:p>
    <w:sectPr w:rsidR="002B16E0" w:rsidSect="002B16E0">
      <w:headerReference w:type="default" r:id="rId10"/>
      <w:footerReference w:type="default" r:id="rId11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FE" w:rsidRDefault="00D248FE" w:rsidP="002B16E0">
      <w:pPr>
        <w:spacing w:after="0" w:line="240" w:lineRule="auto"/>
      </w:pPr>
      <w:r>
        <w:separator/>
      </w:r>
    </w:p>
  </w:endnote>
  <w:endnote w:type="continuationSeparator" w:id="0">
    <w:p w:rsidR="00D248FE" w:rsidRDefault="00D248FE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32" w:rsidRDefault="00D3773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14602</wp:posOffset>
          </wp:positionH>
          <wp:positionV relativeFrom="paragraph">
            <wp:posOffset>213686</wp:posOffset>
          </wp:positionV>
          <wp:extent cx="5762621" cy="428625"/>
          <wp:effectExtent l="0" t="0" r="0" b="0"/>
          <wp:wrapNone/>
          <wp:docPr id="2" name="Obraz 1" descr="2 strona d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FE" w:rsidRDefault="00D248FE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D248FE" w:rsidRDefault="00D248FE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32" w:rsidRDefault="00D377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14602</wp:posOffset>
          </wp:positionH>
          <wp:positionV relativeFrom="paragraph">
            <wp:posOffset>-449583</wp:posOffset>
          </wp:positionV>
          <wp:extent cx="5761350" cy="1168402"/>
          <wp:effectExtent l="0" t="0" r="0" b="0"/>
          <wp:wrapTight wrapText="bothSides">
            <wp:wrapPolygon edited="0">
              <wp:start x="-71" y="0"/>
              <wp:lineTo x="-71" y="21130"/>
              <wp:lineTo x="21569" y="21130"/>
              <wp:lineTo x="21569" y="0"/>
              <wp:lineTo x="-71" y="0"/>
            </wp:wrapPolygon>
          </wp:wrapTight>
          <wp:docPr id="1" name="Obraz 6" descr="formatka3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1168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E0"/>
    <w:rsid w:val="002B16E0"/>
    <w:rsid w:val="00416340"/>
    <w:rsid w:val="004A7F79"/>
    <w:rsid w:val="00517F89"/>
    <w:rsid w:val="0064598E"/>
    <w:rsid w:val="00874072"/>
    <w:rsid w:val="00901D18"/>
    <w:rsid w:val="009119E8"/>
    <w:rsid w:val="00C22A42"/>
    <w:rsid w:val="00C6219E"/>
    <w:rsid w:val="00D016C7"/>
    <w:rsid w:val="00D202A1"/>
    <w:rsid w:val="00D248FE"/>
    <w:rsid w:val="00D37732"/>
    <w:rsid w:val="00DA7645"/>
    <w:rsid w:val="00E51931"/>
    <w:rsid w:val="00E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16E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basedOn w:val="Domylnaczcionkaakapitu"/>
    <w:rsid w:val="002B16E0"/>
    <w:rPr>
      <w:sz w:val="20"/>
      <w:szCs w:val="20"/>
    </w:rPr>
  </w:style>
  <w:style w:type="character" w:styleId="Hipercze">
    <w:name w:val="Hyperlink"/>
    <w:basedOn w:val="Domylnaczcionkaakapitu"/>
    <w:rsid w:val="002B16E0"/>
    <w:rPr>
      <w:color w:val="0000FF"/>
      <w:u w:val="single"/>
    </w:rPr>
  </w:style>
  <w:style w:type="character" w:styleId="Pogrubienie">
    <w:name w:val="Strong"/>
    <w:basedOn w:val="Domylnaczcionkaakapitu"/>
    <w:rsid w:val="002B16E0"/>
    <w:rPr>
      <w:b/>
      <w:bCs/>
    </w:rPr>
  </w:style>
  <w:style w:type="character" w:styleId="Odwoaniedokomentarza">
    <w:name w:val="annotation reference"/>
    <w:basedOn w:val="Domylnaczcionkaakapitu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basedOn w:val="Tekstkomentarza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spacing w:after="0" w:line="240" w:lineRule="auto"/>
    </w:p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basedOn w:val="Domylnaczcionkaakapitu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2B16E0"/>
    <w:rPr>
      <w:sz w:val="20"/>
      <w:szCs w:val="20"/>
    </w:rPr>
  </w:style>
  <w:style w:type="character" w:styleId="Odwoanieprzypisukocowego">
    <w:name w:val="endnote reference"/>
    <w:basedOn w:val="Domylnaczcionkaakapitu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ss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com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kazimierczak@tauber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2</cp:revision>
  <dcterms:created xsi:type="dcterms:W3CDTF">2016-10-14T12:17:00Z</dcterms:created>
  <dcterms:modified xsi:type="dcterms:W3CDTF">2016-10-14T12:17:00Z</dcterms:modified>
</cp:coreProperties>
</file>